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F7" w:rsidRDefault="00D765F7" w:rsidP="009C2F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D765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начала 2021 года на территории Забайкальского края поступило более 48 </w:t>
      </w:r>
      <w:proofErr w:type="gramStart"/>
      <w:r w:rsidRPr="00D765F7">
        <w:rPr>
          <w:rFonts w:ascii="Times New Roman" w:hAnsi="Times New Roman" w:cs="Times New Roman"/>
          <w:b/>
          <w:i/>
          <w:sz w:val="28"/>
          <w:szCs w:val="28"/>
          <w:u w:val="single"/>
        </w:rPr>
        <w:t>млрд</w:t>
      </w:r>
      <w:proofErr w:type="gramEnd"/>
      <w:r w:rsidRPr="00D765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рублей доходов, администрируемых налоговыми органами</w:t>
      </w:r>
    </w:p>
    <w:bookmarkEnd w:id="0"/>
    <w:p w:rsidR="00D765F7" w:rsidRPr="00D765F7" w:rsidRDefault="00D765F7" w:rsidP="00D76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5F7">
        <w:rPr>
          <w:rFonts w:ascii="Times New Roman" w:hAnsi="Times New Roman" w:cs="Times New Roman"/>
          <w:sz w:val="28"/>
          <w:szCs w:val="28"/>
        </w:rPr>
        <w:t xml:space="preserve">За январь-июль 2021 года на территории Забайкальского края по администрируемым источникам доходов мобилизовано 48 711,2 </w:t>
      </w:r>
      <w:proofErr w:type="gramStart"/>
      <w:r w:rsidRPr="00D765F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765F7">
        <w:rPr>
          <w:rFonts w:ascii="Times New Roman" w:hAnsi="Times New Roman" w:cs="Times New Roman"/>
          <w:sz w:val="28"/>
          <w:szCs w:val="28"/>
        </w:rPr>
        <w:t xml:space="preserve"> рублей, что на 5 434,9 млн рублей больше поступлений января-июля 2020 года, темп роста составил 112,6 %, в том числе во внебюджетные фонды мобилизовано 25 190,1 млн рублей, темп роста 108,0 %. Поступления налоговых платежей составили 23 521,1 млн рублей, что на 3 563,7 млн рублей выше уровня поступлений января-июля</w:t>
      </w:r>
      <w:r>
        <w:rPr>
          <w:rFonts w:ascii="Times New Roman" w:hAnsi="Times New Roman" w:cs="Times New Roman"/>
          <w:sz w:val="28"/>
          <w:szCs w:val="28"/>
        </w:rPr>
        <w:t xml:space="preserve"> 2020 года, темп роста 117,9 %.</w:t>
      </w:r>
    </w:p>
    <w:p w:rsidR="0084460E" w:rsidRPr="009C2FCE" w:rsidRDefault="00D765F7" w:rsidP="00D76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5F7">
        <w:rPr>
          <w:rFonts w:ascii="Times New Roman" w:hAnsi="Times New Roman" w:cs="Times New Roman"/>
          <w:sz w:val="28"/>
          <w:szCs w:val="28"/>
        </w:rPr>
        <w:t>Основной объем налоговых платежей обеспечен поступлениями налога на доходы физических лиц, налога на прибыль организаций, налога на имущество организаций и налога на добычу полезных ископаемых.</w:t>
      </w:r>
    </w:p>
    <w:sectPr w:rsidR="0084460E" w:rsidRPr="009C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CE"/>
    <w:rsid w:val="00522290"/>
    <w:rsid w:val="005272E8"/>
    <w:rsid w:val="009C2FCE"/>
    <w:rsid w:val="00D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Шипицына Людмила Сергеевна</dc:creator>
  <cp:lastModifiedBy>Шипицына Людмила Сергеевна</cp:lastModifiedBy>
  <cp:revision>2</cp:revision>
  <dcterms:created xsi:type="dcterms:W3CDTF">2021-08-17T06:53:00Z</dcterms:created>
  <dcterms:modified xsi:type="dcterms:W3CDTF">2021-08-17T06:53:00Z</dcterms:modified>
</cp:coreProperties>
</file>