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9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69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Росреестр разъясняет: Личное подсобное хозяйство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Style w:val="778"/>
          <w:rFonts w:ascii="Tinos" w:hAnsi="Tinos" w:cs="Tinos"/>
          <w:b w:val="0"/>
          <w:i/>
          <w:sz w:val="28"/>
          <w:szCs w:val="28"/>
        </w:rPr>
      </w:pPr>
      <w:r>
        <w:rPr>
          <w:rFonts w:ascii="Tinos" w:hAnsi="Tinos" w:eastAsia="Tinos" w:cs="Tinos"/>
          <w:b w:val="0"/>
          <w:i/>
          <w:sz w:val="28"/>
          <w:szCs w:val="28"/>
        </w:rPr>
      </w:r>
      <w:r>
        <w:rPr>
          <w:rStyle w:val="778"/>
          <w:rFonts w:ascii="Tinos" w:hAnsi="Tinos" w:cs="Tinos"/>
          <w:b w:val="0"/>
          <w:i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color w:val="1a1a1a"/>
          <w:sz w:val="28"/>
          <w:szCs w:val="28"/>
          <w:highlight w:val="white"/>
        </w:rPr>
      </w:pP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В нашей традиционной рубрике разъясняем, что</w:t>
      </w: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  <w:t xml:space="preserve">о</w:t>
      </w: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дним из распространенных видов разрешенного использования земельного участка является «личное подсобное хозяйство» (ЛПХ). </w:t>
      </w:r>
      <w:r>
        <w:rPr>
          <w:rFonts w:ascii="Tinos" w:hAnsi="Tinos" w:eastAsia="Tinos" w:cs="Tinos"/>
          <w:color w:val="1a1a1a"/>
          <w:sz w:val="28"/>
          <w:szCs w:val="28"/>
          <w:highlight w:val="whit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  <w:highlight w:val="white"/>
        </w:rP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  <w:highlight w:val="none"/>
        </w:rPr>
      </w:pP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Вид разрешенного использования является одной из важнейших характеристик земельного участка, поскольку именно он определяет, какие об</w:t>
      </w: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ъекты строительства могут быть возведены правообладателем на данном участке и что можно делать на земельном участке.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  <w:highlight w:val="white"/>
        </w:rPr>
      </w:pP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Что собой представляет данный вид разрешенного использования и какая деятельность допускается на таком участке? Данные вопросы подробно рас</w:t>
      </w: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крывает Федеральный закон от 07.07.2003 № 112-ФЗ «О личном подсобном хозяйстве».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  <w:highlight w:val="none"/>
        </w:rP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color w:val="1a1a1a"/>
          <w:sz w:val="28"/>
          <w:szCs w:val="28"/>
          <w:highlight w:val="white"/>
        </w:rPr>
      </w:pP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Личное подсобное хозяйство - это форма непредпринимательской деятельности по производству и переработке сельскохозяйственной продукции в целях удовлетворения личных потребност</w:t>
      </w: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ей. Реализация гражданами сельскохозяйственной продукции, произведенной и переработанной при ведении личного подсобного хозяйства, не является предпринимательской деятельностью (т.е. эта деятельность не связана с систематическим извлечением прибыли).</w:t>
      </w:r>
      <w:r>
        <w:rPr>
          <w:rFonts w:ascii="Tinos" w:hAnsi="Tinos" w:cs="Tinos"/>
          <w:color w:val="1a1a1a"/>
          <w:sz w:val="28"/>
          <w:szCs w:val="28"/>
          <w:highlight w:val="whit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  <w:highlight w:val="white"/>
        </w:rP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color w:val="1a1a1a"/>
          <w:sz w:val="28"/>
          <w:szCs w:val="28"/>
          <w:highlight w:val="none"/>
        </w:rPr>
      </w:pP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Самая</w:t>
      </w: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 важная отличительная особенность данного вида разрешенного использования заключается в том, что земельные участки для ведения личного подсобного хозяйства бывают двух видов: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/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  <w:highlight w:val="none"/>
        </w:rP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  <w:highlight w:val="white"/>
        </w:rPr>
      </w:pP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- ЛПХ в границах населенного пункта (приусадебный земельный участок);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  <w:highlight w:val="white"/>
        </w:rPr>
      </w:pP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- ЛПХ за пр</w:t>
      </w: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еделами границ населенного пункта (полевой земельный участок).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  <w:highlight w:val="none"/>
        </w:rP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  <w:highlight w:val="white"/>
        </w:rPr>
      </w:pP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Приусадебный земельный участок может использоваться для производства сельскохозяйственной продукции, содержания сельскохозяйственных животных, а также для возведения жилого дома, производственн</w:t>
      </w: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ых, бытовых и иных зданий, строений, сооружений вспомогательного характера с соблюдением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  <w:highlight w:val="none"/>
        </w:rP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pStyle w:val="771"/>
        <w:numPr>
          <w:ilvl w:val="0"/>
          <w:numId w:val="5"/>
        </w:num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  <w:highlight w:val="white"/>
        </w:rPr>
      </w:pP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Полевой земельный участок может исполь</w:t>
      </w: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зоваться исключительно для производства сельскохозяйственной продукции без права возведения на нем зданий и строений (объектов капитального строительства)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  <w:t xml:space="preserve">, – отмечает Сергей Снетков, президент региональной Торгово-промышленной палаты, член Общественного совета Управления Росреестра по Забайкальскому краю.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  <w:highlight w:val="none"/>
        </w:rP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Владелец полевого земельного участка может только выращивать любые сельскохозяйственные культуры: ов</w:t>
      </w:r>
      <w:r>
        <w:rPr>
          <w:rFonts w:ascii="Tinos" w:hAnsi="Tinos" w:eastAsia="Tinos" w:cs="Tinos"/>
          <w:color w:val="1a1a1a"/>
          <w:sz w:val="28"/>
          <w:szCs w:val="28"/>
          <w:highlight w:val="white"/>
        </w:rPr>
        <w:t xml:space="preserve">ощи, фрукты, ягоды и содержать сельскохозяйственных животных.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  <w:highlight w:val="none"/>
        </w:rPr>
      </w:pPr>
      <w:r>
        <w:rPr>
          <w:rFonts w:ascii="Tinos" w:hAnsi="Tinos" w:cs="Tinos"/>
          <w:color w:val="1a1a1a"/>
          <w:sz w:val="28"/>
          <w:szCs w:val="28"/>
          <w:highlight w:val="none"/>
        </w:rPr>
      </w:r>
      <w:r>
        <w:rPr>
          <w:rFonts w:ascii="Tinos" w:hAnsi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#Росреестр #РосреестрЧита #РосреестрЗабайкальскийКрай #ЗабайкальскийРосреестр #Росреестр75 #Госуслуги #Недвижимость #ЛПХ #ЗемельныйУчасток</w:t>
      </w:r>
      <w:r>
        <w:rPr>
          <w:rFonts w:ascii="Times New Roman" w:hAnsi="Times New Roman" w:cs="Times New Roman"/>
          <w:sz w:val="28"/>
          <w:szCs w:val="28"/>
        </w:rPr>
      </w:r>
      <w:r>
        <w:rPr>
          <w:sz w:val="22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4"/>
    <w:link w:val="76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2"/>
    <w:next w:val="76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2"/>
    <w:next w:val="76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2"/>
    <w:next w:val="7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2"/>
    <w:next w:val="7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2"/>
    <w:next w:val="7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2"/>
    <w:next w:val="7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2"/>
    <w:next w:val="7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2"/>
    <w:next w:val="7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2"/>
    <w:next w:val="7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4"/>
    <w:link w:val="34"/>
    <w:uiPriority w:val="10"/>
    <w:rPr>
      <w:sz w:val="48"/>
      <w:szCs w:val="48"/>
    </w:rPr>
  </w:style>
  <w:style w:type="paragraph" w:styleId="36">
    <w:name w:val="Subtitle"/>
    <w:basedOn w:val="762"/>
    <w:next w:val="7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4"/>
    <w:link w:val="36"/>
    <w:uiPriority w:val="11"/>
    <w:rPr>
      <w:sz w:val="24"/>
      <w:szCs w:val="24"/>
    </w:rPr>
  </w:style>
  <w:style w:type="paragraph" w:styleId="38">
    <w:name w:val="Quote"/>
    <w:basedOn w:val="762"/>
    <w:next w:val="7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2"/>
    <w:next w:val="7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4"/>
    <w:link w:val="779"/>
    <w:uiPriority w:val="99"/>
  </w:style>
  <w:style w:type="character" w:styleId="45">
    <w:name w:val="Footer Char"/>
    <w:basedOn w:val="764"/>
    <w:link w:val="781"/>
    <w:uiPriority w:val="99"/>
  </w:style>
  <w:style w:type="paragraph" w:styleId="46">
    <w:name w:val="Caption"/>
    <w:basedOn w:val="762"/>
    <w:next w:val="7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1"/>
    <w:uiPriority w:val="99"/>
  </w:style>
  <w:style w:type="table" w:styleId="48">
    <w:name w:val="Table Grid"/>
    <w:basedOn w:val="7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4"/>
    <w:uiPriority w:val="99"/>
    <w:unhideWhenUsed/>
    <w:rPr>
      <w:vertAlign w:val="superscript"/>
    </w:rPr>
  </w:style>
  <w:style w:type="paragraph" w:styleId="178">
    <w:name w:val="endnote text"/>
    <w:basedOn w:val="7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4"/>
    <w:uiPriority w:val="99"/>
    <w:semiHidden/>
    <w:unhideWhenUsed/>
    <w:rPr>
      <w:vertAlign w:val="superscript"/>
    </w:rPr>
  </w:style>
  <w:style w:type="paragraph" w:styleId="181">
    <w:name w:val="toc 1"/>
    <w:basedOn w:val="762"/>
    <w:next w:val="7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2"/>
    <w:next w:val="7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2"/>
    <w:next w:val="7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2"/>
    <w:next w:val="7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2"/>
    <w:next w:val="7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2"/>
    <w:next w:val="7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2"/>
    <w:next w:val="7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2"/>
    <w:next w:val="7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2"/>
    <w:next w:val="7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2"/>
    <w:next w:val="762"/>
    <w:uiPriority w:val="99"/>
    <w:unhideWhenUsed/>
    <w:pPr>
      <w:spacing w:after="0" w:afterAutospacing="0"/>
    </w:pPr>
  </w:style>
  <w:style w:type="paragraph" w:styleId="762" w:default="1">
    <w:name w:val="Normal"/>
    <w:qFormat/>
    <w:pPr>
      <w:spacing w:after="200" w:line="276" w:lineRule="auto"/>
    </w:pPr>
  </w:style>
  <w:style w:type="paragraph" w:styleId="763">
    <w:name w:val="Heading 1"/>
    <w:basedOn w:val="762"/>
    <w:next w:val="762"/>
    <w:link w:val="77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paragraph" w:styleId="767">
    <w:name w:val="Balloon Text"/>
    <w:basedOn w:val="762"/>
    <w:link w:val="76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68" w:customStyle="1">
    <w:name w:val="Текст выноски Знак"/>
    <w:basedOn w:val="764"/>
    <w:link w:val="767"/>
    <w:uiPriority w:val="99"/>
    <w:semiHidden/>
    <w:rPr>
      <w:rFonts w:ascii="Segoe UI" w:hAnsi="Segoe UI" w:cs="Segoe UI"/>
      <w:sz w:val="18"/>
      <w:szCs w:val="18"/>
    </w:rPr>
  </w:style>
  <w:style w:type="paragraph" w:styleId="769">
    <w:name w:val="No Spacing"/>
    <w:uiPriority w:val="1"/>
    <w:qFormat/>
    <w:pPr>
      <w:spacing w:after="0" w:line="240" w:lineRule="auto"/>
    </w:pPr>
  </w:style>
  <w:style w:type="character" w:styleId="770" w:customStyle="1">
    <w:name w:val="Заголовок 1 Знак"/>
    <w:basedOn w:val="764"/>
    <w:link w:val="76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1">
    <w:name w:val="List Paragraph"/>
    <w:basedOn w:val="762"/>
    <w:uiPriority w:val="34"/>
    <w:qFormat/>
    <w:pPr>
      <w:contextualSpacing/>
      <w:ind w:left="720"/>
      <w:spacing w:after="160" w:line="256" w:lineRule="auto"/>
    </w:pPr>
  </w:style>
  <w:style w:type="character" w:styleId="772">
    <w:name w:val="Hyperlink"/>
    <w:basedOn w:val="764"/>
    <w:uiPriority w:val="99"/>
    <w:unhideWhenUsed/>
    <w:rPr>
      <w:color w:val="0563c1" w:themeColor="hyperlink"/>
      <w:u w:val="single"/>
    </w:rPr>
  </w:style>
  <w:style w:type="character" w:styleId="773">
    <w:name w:val="annotation reference"/>
    <w:basedOn w:val="764"/>
    <w:uiPriority w:val="99"/>
    <w:semiHidden/>
    <w:unhideWhenUsed/>
    <w:rPr>
      <w:sz w:val="16"/>
      <w:szCs w:val="16"/>
    </w:rPr>
  </w:style>
  <w:style w:type="paragraph" w:styleId="774">
    <w:name w:val="annotation text"/>
    <w:basedOn w:val="762"/>
    <w:link w:val="77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5" w:customStyle="1">
    <w:name w:val="Текст примечания Знак"/>
    <w:basedOn w:val="764"/>
    <w:link w:val="774"/>
    <w:uiPriority w:val="99"/>
    <w:semiHidden/>
    <w:rPr>
      <w:sz w:val="20"/>
      <w:szCs w:val="20"/>
    </w:rPr>
  </w:style>
  <w:style w:type="paragraph" w:styleId="776">
    <w:name w:val="annotation subject"/>
    <w:basedOn w:val="774"/>
    <w:next w:val="774"/>
    <w:link w:val="777"/>
    <w:uiPriority w:val="99"/>
    <w:semiHidden/>
    <w:unhideWhenUsed/>
    <w:rPr>
      <w:b/>
      <w:bCs/>
    </w:rPr>
  </w:style>
  <w:style w:type="character" w:styleId="777" w:customStyle="1">
    <w:name w:val="Тема примечания Знак"/>
    <w:basedOn w:val="775"/>
    <w:link w:val="776"/>
    <w:uiPriority w:val="99"/>
    <w:semiHidden/>
    <w:rPr>
      <w:b/>
      <w:bCs/>
      <w:sz w:val="20"/>
      <w:szCs w:val="20"/>
    </w:rPr>
  </w:style>
  <w:style w:type="character" w:styleId="778">
    <w:name w:val="Strong"/>
    <w:basedOn w:val="764"/>
    <w:uiPriority w:val="22"/>
    <w:qFormat/>
    <w:rPr>
      <w:b/>
      <w:bCs/>
    </w:rPr>
  </w:style>
  <w:style w:type="paragraph" w:styleId="779">
    <w:name w:val="Header"/>
    <w:basedOn w:val="762"/>
    <w:link w:val="7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0" w:customStyle="1">
    <w:name w:val="Верхний колонтитул Знак"/>
    <w:basedOn w:val="764"/>
    <w:link w:val="779"/>
    <w:uiPriority w:val="99"/>
  </w:style>
  <w:style w:type="paragraph" w:styleId="781">
    <w:name w:val="Footer"/>
    <w:basedOn w:val="762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Нижний колонтитул Знак"/>
    <w:basedOn w:val="764"/>
    <w:link w:val="78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</cp:revision>
  <dcterms:created xsi:type="dcterms:W3CDTF">2022-05-27T10:42:00Z</dcterms:created>
  <dcterms:modified xsi:type="dcterms:W3CDTF">2025-03-05T07:10:16Z</dcterms:modified>
</cp:coreProperties>
</file>