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10065"/>
      </w:tblGrid>
      <w:tr w:rsidR="00474CE1" w:rsidTr="00B56024">
        <w:trPr>
          <w:trHeight w:val="1412"/>
        </w:trPr>
        <w:tc>
          <w:tcPr>
            <w:tcW w:w="4785" w:type="dxa"/>
          </w:tcPr>
          <w:p w:rsidR="00474CE1" w:rsidRDefault="00474C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:rsidR="00474CE1" w:rsidRDefault="000F4E15" w:rsidP="003E79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  <w:r w:rsidR="00474CE1">
              <w:rPr>
                <w:rFonts w:ascii="Times New Roman" w:hAnsi="Times New Roman" w:cs="Times New Roman"/>
              </w:rPr>
              <w:t xml:space="preserve"> № </w:t>
            </w:r>
            <w:r w:rsidR="001D1D84">
              <w:rPr>
                <w:rFonts w:ascii="Times New Roman" w:hAnsi="Times New Roman" w:cs="Times New Roman"/>
              </w:rPr>
              <w:t>1</w:t>
            </w:r>
            <w:r w:rsidR="00ED59B9">
              <w:rPr>
                <w:rFonts w:ascii="Times New Roman" w:hAnsi="Times New Roman" w:cs="Times New Roman"/>
              </w:rPr>
              <w:t>5</w:t>
            </w:r>
          </w:p>
          <w:p w:rsidR="003E79CB" w:rsidRDefault="00474CE1" w:rsidP="003E79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решению Совета муниципального района </w:t>
            </w:r>
          </w:p>
          <w:p w:rsidR="00474CE1" w:rsidRDefault="00474CE1" w:rsidP="003E79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«Нерчинский район»</w:t>
            </w:r>
            <w:r w:rsidR="003E79CB">
              <w:rPr>
                <w:rFonts w:ascii="Times New Roman" w:hAnsi="Times New Roman" w:cs="Times New Roman"/>
              </w:rPr>
              <w:t xml:space="preserve"> </w:t>
            </w:r>
            <w:r w:rsidR="00B17B73">
              <w:rPr>
                <w:rFonts w:ascii="Times New Roman" w:hAnsi="Times New Roman" w:cs="Times New Roman"/>
              </w:rPr>
              <w:t xml:space="preserve">от </w:t>
            </w:r>
            <w:r w:rsidR="00C154E4">
              <w:rPr>
                <w:rFonts w:ascii="Times New Roman" w:hAnsi="Times New Roman" w:cs="Times New Roman"/>
              </w:rPr>
              <w:t xml:space="preserve"> декабря 20</w:t>
            </w:r>
            <w:r w:rsidR="00AA4804">
              <w:rPr>
                <w:rFonts w:ascii="Times New Roman" w:hAnsi="Times New Roman" w:cs="Times New Roman"/>
              </w:rPr>
              <w:t>2</w:t>
            </w:r>
            <w:r w:rsidR="007F1702">
              <w:rPr>
                <w:rFonts w:ascii="Times New Roman" w:hAnsi="Times New Roman" w:cs="Times New Roman"/>
              </w:rPr>
              <w:t>4</w:t>
            </w:r>
            <w:r w:rsidR="00C154E4">
              <w:rPr>
                <w:rFonts w:ascii="Times New Roman" w:hAnsi="Times New Roman" w:cs="Times New Roman"/>
              </w:rPr>
              <w:t>г</w:t>
            </w:r>
            <w:r w:rsidR="00B17B73">
              <w:rPr>
                <w:rFonts w:ascii="Times New Roman" w:hAnsi="Times New Roman" w:cs="Times New Roman"/>
              </w:rPr>
              <w:t xml:space="preserve">. № </w:t>
            </w:r>
          </w:p>
          <w:p w:rsidR="003E79CB" w:rsidRDefault="00474CE1" w:rsidP="003E79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 бюджете муниципального района «Нерчинский район» </w:t>
            </w:r>
            <w:r w:rsidR="003E79CB">
              <w:rPr>
                <w:rFonts w:ascii="Times New Roman" w:hAnsi="Times New Roman" w:cs="Times New Roman"/>
              </w:rPr>
              <w:t xml:space="preserve"> </w:t>
            </w:r>
          </w:p>
          <w:p w:rsidR="00474CE1" w:rsidRDefault="00474CE1" w:rsidP="003E79C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 20</w:t>
            </w:r>
            <w:r w:rsidR="002160D4">
              <w:rPr>
                <w:rFonts w:ascii="Times New Roman" w:hAnsi="Times New Roman" w:cs="Times New Roman"/>
              </w:rPr>
              <w:t>2</w:t>
            </w:r>
            <w:r w:rsidR="007F17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4748EA">
              <w:rPr>
                <w:rFonts w:ascii="Times New Roman" w:hAnsi="Times New Roman" w:cs="Times New Roman"/>
              </w:rPr>
              <w:t xml:space="preserve"> и плано</w:t>
            </w:r>
            <w:r w:rsidR="003F7E5D">
              <w:rPr>
                <w:rFonts w:ascii="Times New Roman" w:hAnsi="Times New Roman" w:cs="Times New Roman"/>
              </w:rPr>
              <w:t>вый период 202</w:t>
            </w:r>
            <w:r w:rsidR="007F1702">
              <w:rPr>
                <w:rFonts w:ascii="Times New Roman" w:hAnsi="Times New Roman" w:cs="Times New Roman"/>
              </w:rPr>
              <w:t>6</w:t>
            </w:r>
            <w:r w:rsidR="004748EA">
              <w:rPr>
                <w:rFonts w:ascii="Times New Roman" w:hAnsi="Times New Roman" w:cs="Times New Roman"/>
              </w:rPr>
              <w:t xml:space="preserve"> и 20</w:t>
            </w:r>
            <w:r w:rsidR="00565A1F">
              <w:rPr>
                <w:rFonts w:ascii="Times New Roman" w:hAnsi="Times New Roman" w:cs="Times New Roman"/>
              </w:rPr>
              <w:t>2</w:t>
            </w:r>
            <w:r w:rsidR="007F1702">
              <w:rPr>
                <w:rFonts w:ascii="Times New Roman" w:hAnsi="Times New Roman" w:cs="Times New Roman"/>
              </w:rPr>
              <w:t>7</w:t>
            </w:r>
            <w:r w:rsidR="004748EA">
              <w:rPr>
                <w:rFonts w:ascii="Times New Roman" w:hAnsi="Times New Roman" w:cs="Times New Roman"/>
              </w:rPr>
              <w:t xml:space="preserve"> годов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74CE1" w:rsidRDefault="00474C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03E4" w:rsidRDefault="0036266F" w:rsidP="000F4E15">
      <w:pPr>
        <w:pStyle w:val="21"/>
        <w:spacing w:line="240" w:lineRule="exact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Программа муниципальных внутренних заимствований</w:t>
      </w:r>
    </w:p>
    <w:p w:rsidR="003F7E5D" w:rsidRDefault="003053EC" w:rsidP="000F4E15">
      <w:pPr>
        <w:pStyle w:val="21"/>
        <w:spacing w:line="240" w:lineRule="exact"/>
        <w:jc w:val="center"/>
        <w:rPr>
          <w:rFonts w:ascii="Times New Roman" w:hAnsi="Times New Roman" w:cs="Times New Roman"/>
          <w:b/>
          <w:bCs/>
          <w:lang w:val="ru-RU"/>
        </w:rPr>
      </w:pPr>
      <w:r w:rsidRPr="009A1BDE">
        <w:rPr>
          <w:rFonts w:ascii="Times New Roman" w:hAnsi="Times New Roman" w:cs="Times New Roman"/>
          <w:b/>
          <w:bCs/>
          <w:lang w:val="ru-RU"/>
        </w:rPr>
        <w:t>муниципального района</w:t>
      </w:r>
      <w:proofErr w:type="gramStart"/>
      <w:r w:rsidRPr="009A1BDE">
        <w:rPr>
          <w:rFonts w:ascii="Times New Roman" w:hAnsi="Times New Roman" w:cs="Times New Roman"/>
          <w:b/>
          <w:bCs/>
          <w:lang w:val="ru-RU"/>
        </w:rPr>
        <w:t>«Н</w:t>
      </w:r>
      <w:proofErr w:type="gramEnd"/>
      <w:r w:rsidRPr="009A1BDE">
        <w:rPr>
          <w:rFonts w:ascii="Times New Roman" w:hAnsi="Times New Roman" w:cs="Times New Roman"/>
          <w:b/>
          <w:bCs/>
          <w:lang w:val="ru-RU"/>
        </w:rPr>
        <w:t xml:space="preserve">ерчинский район» </w:t>
      </w:r>
      <w:r w:rsidR="00584E8B" w:rsidRPr="009A1BDE">
        <w:rPr>
          <w:rFonts w:ascii="Times New Roman" w:hAnsi="Times New Roman" w:cs="Times New Roman"/>
          <w:b/>
          <w:bCs/>
          <w:lang w:val="ru-RU"/>
        </w:rPr>
        <w:t>на 20</w:t>
      </w:r>
      <w:r w:rsidR="002160D4">
        <w:rPr>
          <w:rFonts w:ascii="Times New Roman" w:hAnsi="Times New Roman" w:cs="Times New Roman"/>
          <w:b/>
          <w:bCs/>
          <w:lang w:val="ru-RU"/>
        </w:rPr>
        <w:t>2</w:t>
      </w:r>
      <w:r w:rsidR="007F1702">
        <w:rPr>
          <w:rFonts w:ascii="Times New Roman" w:hAnsi="Times New Roman" w:cs="Times New Roman"/>
          <w:b/>
          <w:bCs/>
          <w:lang w:val="ru-RU"/>
        </w:rPr>
        <w:t>5</w:t>
      </w:r>
      <w:r w:rsidR="00584E8B" w:rsidRPr="009A1BDE">
        <w:rPr>
          <w:rFonts w:ascii="Times New Roman" w:hAnsi="Times New Roman" w:cs="Times New Roman"/>
          <w:b/>
          <w:bCs/>
          <w:lang w:val="ru-RU"/>
        </w:rPr>
        <w:t xml:space="preserve"> год</w:t>
      </w:r>
      <w:r w:rsidR="003F7E5D">
        <w:rPr>
          <w:rFonts w:ascii="Times New Roman" w:hAnsi="Times New Roman" w:cs="Times New Roman"/>
          <w:b/>
          <w:bCs/>
          <w:lang w:val="ru-RU"/>
        </w:rPr>
        <w:t xml:space="preserve"> и </w:t>
      </w:r>
    </w:p>
    <w:p w:rsidR="00584E8B" w:rsidRPr="009A1BDE" w:rsidRDefault="003F7E5D" w:rsidP="000F4E15">
      <w:pPr>
        <w:pStyle w:val="21"/>
        <w:spacing w:line="240" w:lineRule="exact"/>
        <w:jc w:val="center"/>
        <w:rPr>
          <w:rFonts w:ascii="Times New Roman" w:hAnsi="Times New Roman" w:cs="Times New Roman"/>
          <w:b/>
          <w:bCs/>
          <w:spacing w:val="-8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плановый период 202</w:t>
      </w:r>
      <w:r w:rsidR="007F1702">
        <w:rPr>
          <w:rFonts w:ascii="Times New Roman" w:hAnsi="Times New Roman" w:cs="Times New Roman"/>
          <w:b/>
          <w:bCs/>
          <w:lang w:val="ru-RU"/>
        </w:rPr>
        <w:t>6</w:t>
      </w:r>
      <w:r>
        <w:rPr>
          <w:rFonts w:ascii="Times New Roman" w:hAnsi="Times New Roman" w:cs="Times New Roman"/>
          <w:b/>
          <w:bCs/>
          <w:lang w:val="ru-RU"/>
        </w:rPr>
        <w:t xml:space="preserve"> и 202</w:t>
      </w:r>
      <w:r w:rsidR="007F1702">
        <w:rPr>
          <w:rFonts w:ascii="Times New Roman" w:hAnsi="Times New Roman" w:cs="Times New Roman"/>
          <w:b/>
          <w:bCs/>
          <w:lang w:val="ru-RU"/>
        </w:rPr>
        <w:t>7</w:t>
      </w:r>
      <w:r>
        <w:rPr>
          <w:rFonts w:ascii="Times New Roman" w:hAnsi="Times New Roman" w:cs="Times New Roman"/>
          <w:b/>
          <w:bCs/>
          <w:lang w:val="ru-RU"/>
        </w:rPr>
        <w:t xml:space="preserve"> годов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"/>
        <w:gridCol w:w="4353"/>
        <w:gridCol w:w="1576"/>
        <w:gridCol w:w="1416"/>
        <w:gridCol w:w="1662"/>
        <w:gridCol w:w="1694"/>
        <w:gridCol w:w="1553"/>
        <w:gridCol w:w="1547"/>
      </w:tblGrid>
      <w:tr w:rsidR="003E79CB" w:rsidRPr="004C236F" w:rsidTr="00B56024">
        <w:trPr>
          <w:cantSplit/>
          <w:trHeight w:val="443"/>
          <w:jc w:val="center"/>
        </w:trPr>
        <w:tc>
          <w:tcPr>
            <w:tcW w:w="333" w:type="pct"/>
            <w:vMerge w:val="restart"/>
          </w:tcPr>
          <w:p w:rsidR="003E79CB" w:rsidRPr="00B56024" w:rsidRDefault="003E79CB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</w:rPr>
              <w:t xml:space="preserve">№ </w:t>
            </w:r>
            <w:proofErr w:type="spellStart"/>
            <w:proofErr w:type="gramStart"/>
            <w:r w:rsidRPr="00B56024">
              <w:rPr>
                <w:rFonts w:ascii="Times New Roman" w:hAnsi="Times New Roman" w:cs="Times New Roman"/>
                <w:b w:val="0"/>
                <w:bCs w:val="0"/>
              </w:rPr>
              <w:t>п</w:t>
            </w:r>
            <w:proofErr w:type="spellEnd"/>
            <w:proofErr w:type="gramEnd"/>
            <w:r w:rsidRPr="00B56024">
              <w:rPr>
                <w:rFonts w:ascii="Times New Roman" w:hAnsi="Times New Roman" w:cs="Times New Roman"/>
                <w:b w:val="0"/>
                <w:bCs w:val="0"/>
              </w:rPr>
              <w:t>/</w:t>
            </w:r>
            <w:proofErr w:type="spellStart"/>
            <w:r w:rsidRPr="00B56024">
              <w:rPr>
                <w:rFonts w:ascii="Times New Roman" w:hAnsi="Times New Roman" w:cs="Times New Roman"/>
                <w:b w:val="0"/>
                <w:bCs w:val="0"/>
              </w:rPr>
              <w:t>п</w:t>
            </w:r>
            <w:proofErr w:type="spellEnd"/>
          </w:p>
        </w:tc>
        <w:tc>
          <w:tcPr>
            <w:tcW w:w="1472" w:type="pct"/>
            <w:vMerge w:val="restart"/>
          </w:tcPr>
          <w:p w:rsidR="003E79CB" w:rsidRPr="00B56024" w:rsidRDefault="003E79CB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</w:rPr>
              <w:t>Муниципальные внутренние заимств</w:t>
            </w:r>
            <w:r w:rsidRPr="00B56024"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B56024">
              <w:rPr>
                <w:rFonts w:ascii="Times New Roman" w:hAnsi="Times New Roman" w:cs="Times New Roman"/>
                <w:b w:val="0"/>
                <w:bCs w:val="0"/>
              </w:rPr>
              <w:t>вания</w:t>
            </w:r>
          </w:p>
        </w:tc>
        <w:tc>
          <w:tcPr>
            <w:tcW w:w="1012" w:type="pct"/>
            <w:gridSpan w:val="2"/>
          </w:tcPr>
          <w:p w:rsidR="003E79CB" w:rsidRPr="00B56024" w:rsidRDefault="003E79CB" w:rsidP="003F7E5D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 xml:space="preserve">2025 год </w:t>
            </w:r>
          </w:p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pct"/>
            <w:gridSpan w:val="2"/>
          </w:tcPr>
          <w:p w:rsidR="003E79CB" w:rsidRPr="00B56024" w:rsidRDefault="003E79CB" w:rsidP="007F1702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48" w:type="pct"/>
            <w:gridSpan w:val="2"/>
          </w:tcPr>
          <w:p w:rsidR="003E79CB" w:rsidRPr="00B56024" w:rsidRDefault="003E79CB" w:rsidP="007F1702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2027</w:t>
            </w:r>
            <w:bookmarkStart w:id="0" w:name="_GoBack"/>
            <w:bookmarkEnd w:id="0"/>
            <w:r w:rsidRPr="00B56024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E79CB" w:rsidRPr="004C236F" w:rsidTr="00B56024">
        <w:trPr>
          <w:cantSplit/>
          <w:trHeight w:val="952"/>
          <w:jc w:val="center"/>
        </w:trPr>
        <w:tc>
          <w:tcPr>
            <w:tcW w:w="333" w:type="pct"/>
            <w:vMerge/>
          </w:tcPr>
          <w:p w:rsidR="003E79CB" w:rsidRPr="00B56024" w:rsidRDefault="003E79CB" w:rsidP="0036266F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472" w:type="pct"/>
            <w:vMerge/>
          </w:tcPr>
          <w:p w:rsidR="003E79CB" w:rsidRPr="00B56024" w:rsidRDefault="003E79CB" w:rsidP="0036266F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33" w:type="pct"/>
          </w:tcPr>
          <w:p w:rsidR="00B56024" w:rsidRPr="00B56024" w:rsidRDefault="003E79CB" w:rsidP="00B56024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 xml:space="preserve">Сумма </w:t>
            </w:r>
            <w:r w:rsidR="00B56024" w:rsidRPr="00B56024">
              <w:rPr>
                <w:rFonts w:ascii="Times New Roman" w:hAnsi="Times New Roman" w:cs="Times New Roman"/>
              </w:rPr>
              <w:t>(тыс</w:t>
            </w:r>
            <w:proofErr w:type="gramStart"/>
            <w:r w:rsidR="00B56024" w:rsidRPr="00B56024">
              <w:rPr>
                <w:rFonts w:ascii="Times New Roman" w:hAnsi="Times New Roman" w:cs="Times New Roman"/>
              </w:rPr>
              <w:t>.р</w:t>
            </w:r>
            <w:proofErr w:type="gramEnd"/>
            <w:r w:rsidR="00B56024" w:rsidRPr="00B56024">
              <w:rPr>
                <w:rFonts w:ascii="Times New Roman" w:hAnsi="Times New Roman" w:cs="Times New Roman"/>
              </w:rPr>
              <w:t>ублей)</w:t>
            </w:r>
          </w:p>
        </w:tc>
        <w:tc>
          <w:tcPr>
            <w:tcW w:w="479" w:type="pct"/>
          </w:tcPr>
          <w:p w:rsidR="003E79CB" w:rsidRPr="00B56024" w:rsidRDefault="003E79CB" w:rsidP="0036266F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предел</w:t>
            </w:r>
            <w:r w:rsidRPr="00B56024">
              <w:rPr>
                <w:rFonts w:ascii="Times New Roman" w:hAnsi="Times New Roman" w:cs="Times New Roman"/>
              </w:rPr>
              <w:t>ь</w:t>
            </w:r>
            <w:r w:rsidRPr="00B56024">
              <w:rPr>
                <w:rFonts w:ascii="Times New Roman" w:hAnsi="Times New Roman" w:cs="Times New Roman"/>
              </w:rPr>
              <w:t>ный срок погашения</w:t>
            </w:r>
          </w:p>
        </w:tc>
        <w:tc>
          <w:tcPr>
            <w:tcW w:w="562" w:type="pct"/>
          </w:tcPr>
          <w:p w:rsidR="003E79CB" w:rsidRPr="00B56024" w:rsidRDefault="00B56024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Сумма (тыс</w:t>
            </w:r>
            <w:proofErr w:type="gramStart"/>
            <w:r w:rsidRPr="00B56024">
              <w:rPr>
                <w:rFonts w:ascii="Times New Roman" w:hAnsi="Times New Roman" w:cs="Times New Roman"/>
              </w:rPr>
              <w:t>.р</w:t>
            </w:r>
            <w:proofErr w:type="gramEnd"/>
            <w:r w:rsidRPr="00B56024">
              <w:rPr>
                <w:rFonts w:ascii="Times New Roman" w:hAnsi="Times New Roman" w:cs="Times New Roman"/>
              </w:rPr>
              <w:t>ублей)</w:t>
            </w:r>
            <w:r w:rsidR="003E79CB" w:rsidRPr="00B560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3" w:type="pct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предельный срок погаш</w:t>
            </w:r>
            <w:r w:rsidRPr="00B56024">
              <w:rPr>
                <w:rFonts w:ascii="Times New Roman" w:hAnsi="Times New Roman" w:cs="Times New Roman"/>
              </w:rPr>
              <w:t>е</w:t>
            </w:r>
            <w:r w:rsidRPr="00B5602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25" w:type="pct"/>
          </w:tcPr>
          <w:p w:rsidR="003E79CB" w:rsidRPr="00B56024" w:rsidRDefault="00B56024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Сумма (тыс</w:t>
            </w:r>
            <w:proofErr w:type="gramStart"/>
            <w:r w:rsidRPr="00B56024">
              <w:rPr>
                <w:rFonts w:ascii="Times New Roman" w:hAnsi="Times New Roman" w:cs="Times New Roman"/>
              </w:rPr>
              <w:t>.р</w:t>
            </w:r>
            <w:proofErr w:type="gramEnd"/>
            <w:r w:rsidRPr="00B56024">
              <w:rPr>
                <w:rFonts w:ascii="Times New Roman" w:hAnsi="Times New Roman" w:cs="Times New Roman"/>
              </w:rPr>
              <w:t>ублей)</w:t>
            </w:r>
            <w:r w:rsidR="003E79CB" w:rsidRPr="00B560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3" w:type="pct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предельный срок пог</w:t>
            </w:r>
            <w:r w:rsidRPr="00B56024">
              <w:rPr>
                <w:rFonts w:ascii="Times New Roman" w:hAnsi="Times New Roman" w:cs="Times New Roman"/>
              </w:rPr>
              <w:t>а</w:t>
            </w:r>
            <w:r w:rsidRPr="00B56024">
              <w:rPr>
                <w:rFonts w:ascii="Times New Roman" w:hAnsi="Times New Roman" w:cs="Times New Roman"/>
              </w:rPr>
              <w:t>шения</w:t>
            </w:r>
          </w:p>
        </w:tc>
      </w:tr>
      <w:tr w:rsidR="003E79CB" w:rsidRPr="004C236F" w:rsidTr="00B56024">
        <w:trPr>
          <w:cantSplit/>
          <w:trHeight w:val="319"/>
          <w:jc w:val="center"/>
        </w:trPr>
        <w:tc>
          <w:tcPr>
            <w:tcW w:w="333" w:type="pct"/>
          </w:tcPr>
          <w:p w:rsidR="003E79CB" w:rsidRPr="00B56024" w:rsidRDefault="003E79CB" w:rsidP="0036266F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1472" w:type="pct"/>
          </w:tcPr>
          <w:p w:rsidR="003E79CB" w:rsidRPr="00B56024" w:rsidRDefault="003E79CB" w:rsidP="0036266F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533" w:type="pct"/>
          </w:tcPr>
          <w:p w:rsidR="003E79CB" w:rsidRPr="00B56024" w:rsidRDefault="003E79CB" w:rsidP="0036266F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9" w:type="pct"/>
          </w:tcPr>
          <w:p w:rsidR="003E79CB" w:rsidRPr="00B56024" w:rsidRDefault="00B56024" w:rsidP="00362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2" w:type="pct"/>
          </w:tcPr>
          <w:p w:rsidR="003E79CB" w:rsidRPr="00B56024" w:rsidRDefault="00B56024" w:rsidP="00362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3" w:type="pct"/>
          </w:tcPr>
          <w:p w:rsidR="003E79CB" w:rsidRPr="00B56024" w:rsidRDefault="00B56024" w:rsidP="00362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5" w:type="pct"/>
          </w:tcPr>
          <w:p w:rsidR="003E79CB" w:rsidRPr="00B56024" w:rsidRDefault="00B56024" w:rsidP="00362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3" w:type="pct"/>
          </w:tcPr>
          <w:p w:rsidR="003E79CB" w:rsidRPr="00B56024" w:rsidRDefault="00B56024" w:rsidP="0036266F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8</w:t>
            </w:r>
          </w:p>
        </w:tc>
      </w:tr>
      <w:tr w:rsidR="003E79CB" w:rsidRPr="00B56024" w:rsidTr="00B56024">
        <w:trPr>
          <w:trHeight w:val="533"/>
          <w:jc w:val="center"/>
        </w:trPr>
        <w:tc>
          <w:tcPr>
            <w:tcW w:w="333" w:type="pct"/>
          </w:tcPr>
          <w:p w:rsidR="003E79CB" w:rsidRPr="00B56024" w:rsidRDefault="003E79CB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  <w:i/>
              </w:rPr>
              <w:t>1</w:t>
            </w:r>
          </w:p>
        </w:tc>
        <w:tc>
          <w:tcPr>
            <w:tcW w:w="1472" w:type="pct"/>
          </w:tcPr>
          <w:p w:rsidR="003E79CB" w:rsidRPr="00B56024" w:rsidRDefault="003E79CB" w:rsidP="0036266F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Бюджетные  кредиты,   привлекаемые   от  других   бюджетов   бюджетной   системы Российской Федерации: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79" w:type="pct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73" w:type="pct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23" w:type="pct"/>
          </w:tcPr>
          <w:p w:rsidR="003E79CB" w:rsidRPr="00B56024" w:rsidRDefault="003E79CB" w:rsidP="00134BB4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E79CB" w:rsidRPr="00B56024" w:rsidTr="00B56024">
        <w:trPr>
          <w:trHeight w:val="280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A1393A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</w:rPr>
            </w:pP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pStyle w:val="4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i/>
              </w:rPr>
            </w:pPr>
            <w:r w:rsidRPr="00B56024">
              <w:rPr>
                <w:rFonts w:ascii="Times New Roman" w:hAnsi="Times New Roman" w:cs="Times New Roman"/>
                <w:b w:val="0"/>
              </w:rPr>
              <w:t xml:space="preserve">объем привлечения               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B56024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479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B56024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57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B56024">
              <w:rPr>
                <w:rFonts w:ascii="Times New Roman" w:hAnsi="Times New Roman" w:cs="Times New Roman"/>
                <w:bCs/>
                <w:i/>
              </w:rPr>
              <w:t>0</w:t>
            </w:r>
          </w:p>
        </w:tc>
        <w:tc>
          <w:tcPr>
            <w:tcW w:w="52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E79CB" w:rsidRPr="00B56024" w:rsidTr="00B56024">
        <w:trPr>
          <w:trHeight w:val="503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A1393A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</w:rPr>
            </w:pP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объем средств,  направляемых  на  п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 xml:space="preserve">гашение основной суммы долга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479" w:type="pct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62" w:type="pct"/>
            <w:vAlign w:val="center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573" w:type="pct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525" w:type="pct"/>
            <w:vAlign w:val="center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523" w:type="pct"/>
          </w:tcPr>
          <w:p w:rsidR="003E79CB" w:rsidRPr="00B56024" w:rsidRDefault="003E79CB" w:rsidP="003E79CB">
            <w:pPr>
              <w:jc w:val="center"/>
              <w:rPr>
                <w:rFonts w:ascii="Times New Roman" w:hAnsi="Times New Roman" w:cs="Times New Roman"/>
              </w:rPr>
            </w:pPr>
            <w:r w:rsidRPr="00B56024">
              <w:rPr>
                <w:rFonts w:ascii="Times New Roman" w:hAnsi="Times New Roman" w:cs="Times New Roman"/>
              </w:rPr>
              <w:t>2027 год</w:t>
            </w:r>
          </w:p>
        </w:tc>
      </w:tr>
      <w:tr w:rsidR="003E79CB" w:rsidRPr="00B56024" w:rsidTr="00B56024">
        <w:trPr>
          <w:trHeight w:val="355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A1393A">
            <w:pPr>
              <w:pStyle w:val="4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/>
              </w:rPr>
            </w:pPr>
            <w:r w:rsidRPr="00B56024">
              <w:rPr>
                <w:rFonts w:ascii="Times New Roman" w:hAnsi="Times New Roman" w:cs="Times New Roman"/>
                <w:b w:val="0"/>
                <w:bCs w:val="0"/>
                <w:i/>
              </w:rPr>
              <w:t>2</w:t>
            </w: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Кредиты,  привлекаемые   от   креди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ных организаций: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479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2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E79CB" w:rsidRPr="00B56024" w:rsidTr="00B56024">
        <w:trPr>
          <w:trHeight w:val="275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102DF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</w:rPr>
              <w:t xml:space="preserve">объем привлечения              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479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23" w:type="pct"/>
          </w:tcPr>
          <w:p w:rsidR="003E79CB" w:rsidRPr="00B56024" w:rsidRDefault="003E79CB" w:rsidP="00136835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E79CB" w:rsidRPr="00B56024" w:rsidTr="00B56024">
        <w:trPr>
          <w:trHeight w:val="608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102DF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E79CB" w:rsidRPr="00B56024" w:rsidRDefault="003E79CB" w:rsidP="00102DF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объем средств,  направляемых  на  п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 xml:space="preserve">гашение основной суммы долга     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" w:type="pct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73" w:type="pct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3" w:type="pct"/>
          </w:tcPr>
          <w:p w:rsidR="003E79CB" w:rsidRPr="00B56024" w:rsidRDefault="003E79CB" w:rsidP="00512BC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E79CB" w:rsidRPr="00B56024" w:rsidTr="00B56024">
        <w:trPr>
          <w:trHeight w:val="845"/>
          <w:jc w:val="center"/>
        </w:trPr>
        <w:tc>
          <w:tcPr>
            <w:tcW w:w="333" w:type="pct"/>
            <w:vAlign w:val="bottom"/>
          </w:tcPr>
          <w:p w:rsidR="003E79CB" w:rsidRPr="00B56024" w:rsidRDefault="003E79CB" w:rsidP="00102DF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472" w:type="pct"/>
            <w:vAlign w:val="bottom"/>
          </w:tcPr>
          <w:p w:rsidR="003E79CB" w:rsidRPr="00B56024" w:rsidRDefault="003E79CB" w:rsidP="0036266F">
            <w:pPr>
              <w:rPr>
                <w:rFonts w:ascii="Times New Roman" w:hAnsi="Times New Roman" w:cs="Times New Roman"/>
                <w:i/>
              </w:rPr>
            </w:pPr>
          </w:p>
          <w:p w:rsidR="003E79CB" w:rsidRPr="00B56024" w:rsidRDefault="003E79CB" w:rsidP="00CB03E4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Общий объем государственных  вну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ренних     заимствований: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79" w:type="pct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73" w:type="pct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23" w:type="pct"/>
          </w:tcPr>
          <w:p w:rsidR="003E79CB" w:rsidRPr="00B56024" w:rsidRDefault="003E79CB" w:rsidP="001877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E79CB" w:rsidRPr="00B56024" w:rsidTr="00B56024">
        <w:trPr>
          <w:jc w:val="center"/>
        </w:trPr>
        <w:tc>
          <w:tcPr>
            <w:tcW w:w="333" w:type="pct"/>
            <w:tcBorders>
              <w:right w:val="nil"/>
            </w:tcBorders>
            <w:vAlign w:val="bottom"/>
          </w:tcPr>
          <w:p w:rsidR="003E79CB" w:rsidRPr="00B56024" w:rsidRDefault="003E79CB" w:rsidP="00A1393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2" w:type="pct"/>
            <w:tcBorders>
              <w:right w:val="nil"/>
            </w:tcBorders>
            <w:vAlign w:val="bottom"/>
          </w:tcPr>
          <w:p w:rsidR="003E79CB" w:rsidRPr="00B56024" w:rsidRDefault="003E79CB" w:rsidP="0036266F">
            <w:pPr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</w:rPr>
              <w:t xml:space="preserve">привлечение средств            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479" w:type="pct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3" w:type="pct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23" w:type="pct"/>
          </w:tcPr>
          <w:p w:rsidR="003E79CB" w:rsidRPr="00B56024" w:rsidRDefault="003E79CB" w:rsidP="00E35F77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E79CB" w:rsidRPr="00B56024" w:rsidTr="00B56024">
        <w:trPr>
          <w:jc w:val="center"/>
        </w:trPr>
        <w:tc>
          <w:tcPr>
            <w:tcW w:w="333" w:type="pct"/>
            <w:tcBorders>
              <w:right w:val="nil"/>
            </w:tcBorders>
            <w:vAlign w:val="bottom"/>
          </w:tcPr>
          <w:p w:rsidR="003E79CB" w:rsidRPr="00B56024" w:rsidRDefault="003E79CB" w:rsidP="00A1393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2" w:type="pct"/>
            <w:tcBorders>
              <w:right w:val="nil"/>
            </w:tcBorders>
            <w:vAlign w:val="bottom"/>
          </w:tcPr>
          <w:p w:rsidR="003E79CB" w:rsidRPr="00B56024" w:rsidRDefault="003E79CB" w:rsidP="003626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средства,  направляемые  на   погаш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5602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E79CB" w:rsidRPr="00B56024" w:rsidRDefault="003E79CB" w:rsidP="0036266F">
            <w:pPr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</w:rPr>
              <w:t xml:space="preserve">      основной суммы долга                            </w:t>
            </w:r>
          </w:p>
        </w:tc>
        <w:tc>
          <w:tcPr>
            <w:tcW w:w="533" w:type="pct"/>
            <w:vAlign w:val="center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479" w:type="pct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2" w:type="pct"/>
            <w:vAlign w:val="center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573" w:type="pct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5" w:type="pct"/>
            <w:vAlign w:val="center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56024">
              <w:rPr>
                <w:rFonts w:ascii="Times New Roman" w:hAnsi="Times New Roman" w:cs="Times New Roman"/>
                <w:i/>
              </w:rPr>
              <w:t>2622,3</w:t>
            </w:r>
          </w:p>
        </w:tc>
        <w:tc>
          <w:tcPr>
            <w:tcW w:w="523" w:type="pct"/>
          </w:tcPr>
          <w:p w:rsidR="003E79CB" w:rsidRPr="00B56024" w:rsidRDefault="003E79CB" w:rsidP="005472C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584E8B" w:rsidRPr="00B56024" w:rsidRDefault="00584E8B"/>
    <w:sectPr w:rsidR="00584E8B" w:rsidRPr="00B56024" w:rsidSect="00B5602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9CB" w:rsidRDefault="003E79CB">
      <w:r>
        <w:separator/>
      </w:r>
    </w:p>
  </w:endnote>
  <w:endnote w:type="continuationSeparator" w:id="1">
    <w:p w:rsidR="003E79CB" w:rsidRDefault="003E7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9CB" w:rsidRDefault="003E79CB">
      <w:r>
        <w:separator/>
      </w:r>
    </w:p>
  </w:footnote>
  <w:footnote w:type="continuationSeparator" w:id="1">
    <w:p w:rsidR="003E79CB" w:rsidRDefault="003E79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84E8B"/>
    <w:rsid w:val="000001D2"/>
    <w:rsid w:val="00006D09"/>
    <w:rsid w:val="000144F3"/>
    <w:rsid w:val="000322D8"/>
    <w:rsid w:val="000802C3"/>
    <w:rsid w:val="0009417F"/>
    <w:rsid w:val="000A13B0"/>
    <w:rsid w:val="000A5B18"/>
    <w:rsid w:val="000B4AC7"/>
    <w:rsid w:val="000D4DF7"/>
    <w:rsid w:val="000F4E15"/>
    <w:rsid w:val="001006EA"/>
    <w:rsid w:val="00102DFF"/>
    <w:rsid w:val="00113688"/>
    <w:rsid w:val="00134BB4"/>
    <w:rsid w:val="00136835"/>
    <w:rsid w:val="00143D28"/>
    <w:rsid w:val="001606A6"/>
    <w:rsid w:val="00170E85"/>
    <w:rsid w:val="00171299"/>
    <w:rsid w:val="001760AB"/>
    <w:rsid w:val="00177470"/>
    <w:rsid w:val="00181D30"/>
    <w:rsid w:val="00185738"/>
    <w:rsid w:val="0018776C"/>
    <w:rsid w:val="00190AAC"/>
    <w:rsid w:val="001B3B89"/>
    <w:rsid w:val="001C4EE9"/>
    <w:rsid w:val="001D1D84"/>
    <w:rsid w:val="002160D4"/>
    <w:rsid w:val="00251070"/>
    <w:rsid w:val="00262B19"/>
    <w:rsid w:val="00287F8A"/>
    <w:rsid w:val="002C57C0"/>
    <w:rsid w:val="002D4827"/>
    <w:rsid w:val="003053EC"/>
    <w:rsid w:val="00306158"/>
    <w:rsid w:val="00336506"/>
    <w:rsid w:val="0033684C"/>
    <w:rsid w:val="0036266F"/>
    <w:rsid w:val="00397BAC"/>
    <w:rsid w:val="003A3BD2"/>
    <w:rsid w:val="003A4A6C"/>
    <w:rsid w:val="003A4DDE"/>
    <w:rsid w:val="003E1FAA"/>
    <w:rsid w:val="003E79CB"/>
    <w:rsid w:val="003F7E5D"/>
    <w:rsid w:val="00423EA7"/>
    <w:rsid w:val="00426DD9"/>
    <w:rsid w:val="00432CDE"/>
    <w:rsid w:val="004748EA"/>
    <w:rsid w:val="00474CE1"/>
    <w:rsid w:val="004C09D1"/>
    <w:rsid w:val="004C1C00"/>
    <w:rsid w:val="004C236F"/>
    <w:rsid w:val="00504859"/>
    <w:rsid w:val="00504E9A"/>
    <w:rsid w:val="00512BC2"/>
    <w:rsid w:val="0054421B"/>
    <w:rsid w:val="005471A2"/>
    <w:rsid w:val="005472C6"/>
    <w:rsid w:val="00565A1F"/>
    <w:rsid w:val="00583C34"/>
    <w:rsid w:val="00584E8B"/>
    <w:rsid w:val="005A46C0"/>
    <w:rsid w:val="005A688A"/>
    <w:rsid w:val="005C281A"/>
    <w:rsid w:val="005E222E"/>
    <w:rsid w:val="005E4474"/>
    <w:rsid w:val="005F1477"/>
    <w:rsid w:val="005F3788"/>
    <w:rsid w:val="00623F73"/>
    <w:rsid w:val="006443D8"/>
    <w:rsid w:val="00654706"/>
    <w:rsid w:val="0066750D"/>
    <w:rsid w:val="00674EDC"/>
    <w:rsid w:val="006842C6"/>
    <w:rsid w:val="006B2BAB"/>
    <w:rsid w:val="006D4458"/>
    <w:rsid w:val="006D7255"/>
    <w:rsid w:val="006F2266"/>
    <w:rsid w:val="00706908"/>
    <w:rsid w:val="00757CA5"/>
    <w:rsid w:val="00766D14"/>
    <w:rsid w:val="007D0E6D"/>
    <w:rsid w:val="007E6343"/>
    <w:rsid w:val="007F1702"/>
    <w:rsid w:val="00825D05"/>
    <w:rsid w:val="008369E9"/>
    <w:rsid w:val="00836F23"/>
    <w:rsid w:val="008453E2"/>
    <w:rsid w:val="00867FC9"/>
    <w:rsid w:val="00874373"/>
    <w:rsid w:val="00881F25"/>
    <w:rsid w:val="008A5E8B"/>
    <w:rsid w:val="008D09A7"/>
    <w:rsid w:val="008F6230"/>
    <w:rsid w:val="009159AE"/>
    <w:rsid w:val="009804D7"/>
    <w:rsid w:val="009A1BDE"/>
    <w:rsid w:val="009A4580"/>
    <w:rsid w:val="009B694F"/>
    <w:rsid w:val="00A1393A"/>
    <w:rsid w:val="00A45BE0"/>
    <w:rsid w:val="00A47703"/>
    <w:rsid w:val="00A500F3"/>
    <w:rsid w:val="00A57B76"/>
    <w:rsid w:val="00A75FBE"/>
    <w:rsid w:val="00A81F74"/>
    <w:rsid w:val="00AA4804"/>
    <w:rsid w:val="00AB1850"/>
    <w:rsid w:val="00B17B73"/>
    <w:rsid w:val="00B56024"/>
    <w:rsid w:val="00B736E6"/>
    <w:rsid w:val="00B971DE"/>
    <w:rsid w:val="00BC67CB"/>
    <w:rsid w:val="00BD2459"/>
    <w:rsid w:val="00BE0393"/>
    <w:rsid w:val="00BF594B"/>
    <w:rsid w:val="00C00492"/>
    <w:rsid w:val="00C15487"/>
    <w:rsid w:val="00C154E4"/>
    <w:rsid w:val="00C219E4"/>
    <w:rsid w:val="00C26047"/>
    <w:rsid w:val="00C42ADA"/>
    <w:rsid w:val="00C5072B"/>
    <w:rsid w:val="00C723C7"/>
    <w:rsid w:val="00C8521E"/>
    <w:rsid w:val="00CB03E4"/>
    <w:rsid w:val="00CC25E0"/>
    <w:rsid w:val="00CD2D3C"/>
    <w:rsid w:val="00D04147"/>
    <w:rsid w:val="00D44971"/>
    <w:rsid w:val="00D74675"/>
    <w:rsid w:val="00D7530C"/>
    <w:rsid w:val="00D760E0"/>
    <w:rsid w:val="00D856E9"/>
    <w:rsid w:val="00DA7A93"/>
    <w:rsid w:val="00E07733"/>
    <w:rsid w:val="00E35F77"/>
    <w:rsid w:val="00E52CC5"/>
    <w:rsid w:val="00E74573"/>
    <w:rsid w:val="00E92DCD"/>
    <w:rsid w:val="00E9370D"/>
    <w:rsid w:val="00EA7BF7"/>
    <w:rsid w:val="00EC64D1"/>
    <w:rsid w:val="00ED59B9"/>
    <w:rsid w:val="00F00BD4"/>
    <w:rsid w:val="00F138F5"/>
    <w:rsid w:val="00F265C3"/>
    <w:rsid w:val="00F83CA2"/>
    <w:rsid w:val="00F86A7E"/>
    <w:rsid w:val="00FE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CE1"/>
    <w:pPr>
      <w:spacing w:after="0" w:line="240" w:lineRule="auto"/>
    </w:pPr>
    <w:rPr>
      <w:rFonts w:ascii="Monotype Corsiva" w:hAnsi="Monotype Corsiva" w:cs="Monotype Corsiva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E7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E92DC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92DC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semiHidden/>
    <w:locked/>
    <w:rsid w:val="00E92DCD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92DCD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21">
    <w:name w:val="Body Text 2"/>
    <w:basedOn w:val="a"/>
    <w:link w:val="22"/>
    <w:uiPriority w:val="99"/>
    <w:rsid w:val="00E92DCD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92DCD"/>
    <w:rPr>
      <w:rFonts w:cs="Times New Roman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92DCD"/>
    <w:rPr>
      <w:rFonts w:ascii="Tahoma" w:hAnsi="Tahoma" w:cs="Tahoma"/>
      <w:sz w:val="16"/>
      <w:szCs w:val="16"/>
      <w:lang w:val="en-US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92DCD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uiPriority w:val="99"/>
    <w:rsid w:val="00C8521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92DCD"/>
    <w:rPr>
      <w:rFonts w:cs="Times New Roman"/>
      <w:sz w:val="24"/>
      <w:szCs w:val="24"/>
      <w:lang w:val="en-US" w:eastAsia="en-US"/>
    </w:rPr>
  </w:style>
  <w:style w:type="paragraph" w:styleId="a7">
    <w:name w:val="footer"/>
    <w:basedOn w:val="a"/>
    <w:link w:val="a8"/>
    <w:uiPriority w:val="99"/>
    <w:rsid w:val="00C8521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92DCD"/>
    <w:rPr>
      <w:rFonts w:cs="Times New Roman"/>
      <w:sz w:val="24"/>
      <w:szCs w:val="24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474CE1"/>
    <w:pPr>
      <w:pageBreakBefore/>
      <w:spacing w:after="160" w:line="360" w:lineRule="auto"/>
    </w:pPr>
    <w:rPr>
      <w:sz w:val="28"/>
      <w:szCs w:val="28"/>
      <w:lang w:val="en-US" w:eastAsia="en-US"/>
    </w:rPr>
  </w:style>
  <w:style w:type="table" w:styleId="aa">
    <w:name w:val="Table Grid"/>
    <w:basedOn w:val="a1"/>
    <w:uiPriority w:val="99"/>
    <w:locked/>
    <w:rsid w:val="00474CE1"/>
    <w:pPr>
      <w:spacing w:after="0" w:line="240" w:lineRule="auto"/>
    </w:pPr>
    <w:rPr>
      <w:rFonts w:ascii="Monotype Corsiva" w:hAnsi="Monotype Corsiva" w:cs="Monotype Corsiv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626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Emphasis"/>
    <w:basedOn w:val="a0"/>
    <w:qFormat/>
    <w:locked/>
    <w:rsid w:val="003E79CB"/>
    <w:rPr>
      <w:i/>
      <w:iCs/>
    </w:rPr>
  </w:style>
  <w:style w:type="character" w:customStyle="1" w:styleId="10">
    <w:name w:val="Заголовок 1 Знак"/>
    <w:basedOn w:val="a0"/>
    <w:link w:val="1"/>
    <w:rsid w:val="003E7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2062</vt:lpstr>
    </vt:vector>
  </TitlesOfParts>
  <Company>РФО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2062</dc:title>
  <dc:subject/>
  <dc:creator>erosheva</dc:creator>
  <cp:keywords/>
  <dc:description/>
  <cp:lastModifiedBy>Windows User</cp:lastModifiedBy>
  <cp:revision>5</cp:revision>
  <cp:lastPrinted>2017-04-19T06:02:00Z</cp:lastPrinted>
  <dcterms:created xsi:type="dcterms:W3CDTF">2024-05-29T05:48:00Z</dcterms:created>
  <dcterms:modified xsi:type="dcterms:W3CDTF">2024-11-04T07:23:00Z</dcterms:modified>
</cp:coreProperties>
</file>