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2C2D2E"/>
          <w:sz w:val="28"/>
          <w:szCs w:val="28"/>
        </w:rPr>
      </w:pPr>
      <w:r w:rsidRPr="00620971">
        <w:rPr>
          <w:b/>
          <w:color w:val="2C2D2E"/>
          <w:sz w:val="28"/>
          <w:szCs w:val="28"/>
        </w:rPr>
        <w:t xml:space="preserve">АНАЛИЗ </w:t>
      </w:r>
      <w:r w:rsidRPr="00620971">
        <w:rPr>
          <w:b/>
          <w:color w:val="2C2D2E"/>
          <w:sz w:val="28"/>
          <w:szCs w:val="28"/>
        </w:rPr>
        <w:br/>
        <w:t xml:space="preserve">социально-экономического положения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2C2D2E"/>
          <w:sz w:val="28"/>
          <w:szCs w:val="28"/>
        </w:rPr>
      </w:pPr>
      <w:r w:rsidRPr="00620971">
        <w:rPr>
          <w:b/>
          <w:color w:val="2C2D2E"/>
          <w:sz w:val="28"/>
          <w:szCs w:val="28"/>
        </w:rPr>
        <w:t xml:space="preserve">Нерчинского муниципального округа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center"/>
        <w:rPr>
          <w:color w:val="2C2D2E"/>
          <w:sz w:val="28"/>
          <w:szCs w:val="28"/>
        </w:rPr>
      </w:pPr>
      <w:r w:rsidRPr="00620971">
        <w:rPr>
          <w:b/>
          <w:color w:val="2C2D2E"/>
          <w:sz w:val="28"/>
          <w:szCs w:val="28"/>
        </w:rPr>
        <w:t>за январь-март 2026 года</w:t>
      </w:r>
      <w:r>
        <w:rPr>
          <w:color w:val="2C2D2E"/>
          <w:sz w:val="28"/>
          <w:szCs w:val="28"/>
        </w:rPr>
        <w:t xml:space="preserve">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На 1 апреля 2026 года на территории округа осуществляют деятельность 175 организаций и 357 индивидуальных предпринимателя. За январь - март 2026 года официально зарегистрирована 1 организация, </w:t>
      </w:r>
      <w:proofErr w:type="gramStart"/>
      <w:r>
        <w:rPr>
          <w:color w:val="2C2D2E"/>
          <w:sz w:val="28"/>
          <w:szCs w:val="28"/>
        </w:rPr>
        <w:t>ликвидированы</w:t>
      </w:r>
      <w:proofErr w:type="gramEnd"/>
      <w:r>
        <w:rPr>
          <w:color w:val="2C2D2E"/>
          <w:sz w:val="28"/>
          <w:szCs w:val="28"/>
        </w:rPr>
        <w:t xml:space="preserve"> 16.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0" w:name="_Toc229999018"/>
      <w:r>
        <w:rPr>
          <w:color w:val="2C2D2E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</w:t>
      </w:r>
      <w:bookmarkEnd w:id="0"/>
      <w:r>
        <w:rPr>
          <w:color w:val="2C2D2E"/>
          <w:sz w:val="28"/>
          <w:szCs w:val="28"/>
        </w:rPr>
        <w:t xml:space="preserve">составил 523438 тыс. руб., что в 14,7 раз выше аналогичного периода предыдущего года (далее – АППГ).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1" w:name="_Toc229999021"/>
      <w:bookmarkStart w:id="2" w:name="_Toc188955523"/>
      <w:r>
        <w:rPr>
          <w:color w:val="2C2D2E"/>
          <w:sz w:val="28"/>
          <w:szCs w:val="28"/>
        </w:rPr>
        <w:t>Произведено скота и птицы на убой (в живом весе)</w:t>
      </w:r>
      <w:bookmarkEnd w:id="1"/>
      <w:bookmarkEnd w:id="2"/>
      <w:r>
        <w:rPr>
          <w:color w:val="2C2D2E"/>
          <w:sz w:val="28"/>
          <w:szCs w:val="28"/>
        </w:rPr>
        <w:t xml:space="preserve"> (в хозяйствах всех категорий) – 197,9 тонн (98,3% к АППГ). Место, занимаемое среди муниципальных образований Забайкальского края по данному показателю в январе-марте 2026 г – 8. </w:t>
      </w:r>
      <w:bookmarkStart w:id="3" w:name="_Toc229999024"/>
      <w:r>
        <w:rPr>
          <w:color w:val="2C2D2E"/>
          <w:sz w:val="28"/>
          <w:szCs w:val="28"/>
        </w:rPr>
        <w:t xml:space="preserve">Доля хозяйств населения в производстве мяса </w:t>
      </w:r>
      <w:bookmarkEnd w:id="3"/>
      <w:r>
        <w:rPr>
          <w:color w:val="2C2D2E"/>
          <w:sz w:val="28"/>
          <w:szCs w:val="28"/>
        </w:rPr>
        <w:t xml:space="preserve">– 89,9%, КФХ – 2,8%.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4" w:name="_Toc229999022"/>
      <w:r>
        <w:rPr>
          <w:color w:val="2C2D2E"/>
          <w:sz w:val="28"/>
          <w:szCs w:val="28"/>
        </w:rPr>
        <w:t>Произведено молока</w:t>
      </w:r>
      <w:bookmarkEnd w:id="4"/>
      <w:r>
        <w:rPr>
          <w:b/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(в хозяйствах всех категорий) – 982,4 тонн (64,1% к АППГ). Место, занимаемое среди муниципальных образований Забайкальского края по данному показателю в январе-марте 2026 г – 9. Доля хозяйств населения в производстве молока – 95,9%.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5" w:name="_Toc229999023"/>
      <w:r>
        <w:rPr>
          <w:color w:val="2C2D2E"/>
          <w:sz w:val="28"/>
          <w:szCs w:val="28"/>
        </w:rPr>
        <w:t>Получено яиц</w:t>
      </w:r>
      <w:bookmarkEnd w:id="5"/>
      <w:r>
        <w:rPr>
          <w:color w:val="2C2D2E"/>
          <w:sz w:val="28"/>
          <w:szCs w:val="28"/>
        </w:rPr>
        <w:t xml:space="preserve"> (в хозяйствах всех категорий) - 161.6 тыс. штук (100,6% к АППГ). Место, занимаемое среди муниципальных образований Забайкальского края по данному показателю  в январе-марте 2026 г – 4. Доля хозяйств населения в производстве яиц – 100%.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6" w:name="_Toc229999026"/>
      <w:r>
        <w:rPr>
          <w:color w:val="2C2D2E"/>
          <w:sz w:val="28"/>
          <w:szCs w:val="28"/>
        </w:rPr>
        <w:t>Поголовье крупного рогатого скота в сельскохозяйственных организациях</w:t>
      </w:r>
      <w:bookmarkEnd w:id="6"/>
      <w:r>
        <w:rPr>
          <w:color w:val="2C2D2E"/>
          <w:sz w:val="28"/>
          <w:szCs w:val="28"/>
        </w:rPr>
        <w:t xml:space="preserve"> (на конец марта 2026 года) – 1408 головы (93,3% к АППГ). Доля муниципального образования в Забайкальском крае в марте 2026 г – 9,4%.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Поголовье коров в сельскохозяйственных организациях (на конец марта 2026 года) – 650 голов (90,5% к АППГ). Доля муниципального образования </w:t>
      </w:r>
      <w:r>
        <w:rPr>
          <w:color w:val="2C2D2E"/>
          <w:sz w:val="28"/>
          <w:szCs w:val="28"/>
        </w:rPr>
        <w:br/>
        <w:t>в Забайкальском крае в марте 2026 г – 8,8%.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Поголовье свиней в сельскохозяйственных организациях (на конец марта 2026 года) – 123 головы (70,7% к АППГ). Доля муниципального образования в Забайкальском крае в марте 2026 г – 1,8%.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Поголовье овец и коз в сельскохозяйственных организациях (на конец марта 2026 года) – 2694 головы (95,6% к АППГ). Доля муниципального образования  в Забайкальском крае в марте 2026 г – 5,9%.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Оборот розничной торговли за 1 квартал 2026 года составил 452393 тыс. руб., что выше уровня 1 квартала 2025 года на 16,9%., оборот общественного питания – 10124 тыс. руб. (102,1% к АППГ).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7" w:name="_Toc229999032"/>
      <w:r>
        <w:rPr>
          <w:color w:val="2C2D2E"/>
          <w:sz w:val="28"/>
          <w:szCs w:val="28"/>
        </w:rPr>
        <w:t xml:space="preserve">Финансовые результаты деятельности </w:t>
      </w:r>
      <w:bookmarkStart w:id="8" w:name="_Toc34380745"/>
      <w:r>
        <w:rPr>
          <w:color w:val="2C2D2E"/>
          <w:sz w:val="28"/>
          <w:szCs w:val="28"/>
        </w:rPr>
        <w:t>организаций в</w:t>
      </w:r>
      <w:bookmarkEnd w:id="8"/>
      <w:r>
        <w:rPr>
          <w:color w:val="2C2D2E"/>
          <w:sz w:val="28"/>
          <w:szCs w:val="28"/>
        </w:rPr>
        <w:t xml:space="preserve"> январе-феврале 2026 </w:t>
      </w:r>
      <w:bookmarkEnd w:id="7"/>
      <w:r>
        <w:rPr>
          <w:color w:val="2C2D2E"/>
          <w:sz w:val="28"/>
          <w:szCs w:val="28"/>
        </w:rPr>
        <w:t xml:space="preserve">года показали убыток в размере 19,2 млн. руб., доля убыточных организаций в </w:t>
      </w:r>
      <w:proofErr w:type="gramStart"/>
      <w:r>
        <w:rPr>
          <w:color w:val="2C2D2E"/>
          <w:sz w:val="28"/>
          <w:szCs w:val="28"/>
        </w:rPr>
        <w:t>общем</w:t>
      </w:r>
      <w:proofErr w:type="gramEnd"/>
      <w:r>
        <w:rPr>
          <w:color w:val="2C2D2E"/>
          <w:sz w:val="28"/>
          <w:szCs w:val="28"/>
        </w:rPr>
        <w:t xml:space="preserve"> их числе – 25%.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9" w:name="_Toc229999035"/>
      <w:r>
        <w:rPr>
          <w:color w:val="2C2D2E"/>
          <w:sz w:val="28"/>
          <w:szCs w:val="28"/>
        </w:rPr>
        <w:t xml:space="preserve">Среднесписочная численность работников организаций (без внешних совместителей) в феврале 2026 года </w:t>
      </w:r>
      <w:bookmarkEnd w:id="9"/>
      <w:r>
        <w:rPr>
          <w:color w:val="2C2D2E"/>
          <w:sz w:val="28"/>
          <w:szCs w:val="28"/>
        </w:rPr>
        <w:t xml:space="preserve">– 3837 человек (99,4 % к АППГ). </w:t>
      </w:r>
      <w:r>
        <w:rPr>
          <w:color w:val="2C2D2E"/>
          <w:sz w:val="28"/>
          <w:szCs w:val="28"/>
        </w:rPr>
        <w:lastRenderedPageBreak/>
        <w:t xml:space="preserve">Средняя численность внешних совместителей – 54 человека (61 человек АППГ), работников, выполнявших работы по договорам гражданско-правового характера – 72 человека (83 человека АППГ).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Среднемесячная начисленная заработная плата (без выплат социального характера) одного работника в феврале 2026 года составила – 69436 рублей (112,3% к февралю 2025 года, к </w:t>
      </w:r>
      <w:proofErr w:type="spellStart"/>
      <w:r>
        <w:rPr>
          <w:color w:val="2C2D2E"/>
          <w:sz w:val="28"/>
          <w:szCs w:val="28"/>
        </w:rPr>
        <w:t>среднекраевому</w:t>
      </w:r>
      <w:proofErr w:type="spellEnd"/>
      <w:r>
        <w:rPr>
          <w:color w:val="2C2D2E"/>
          <w:sz w:val="28"/>
          <w:szCs w:val="28"/>
        </w:rPr>
        <w:t xml:space="preserve"> уровню – 69%). Просроченная задолженность по заработной плате отсутствует.    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bookmarkStart w:id="10" w:name="_Toc229999038"/>
      <w:r>
        <w:rPr>
          <w:color w:val="2C2D2E"/>
          <w:sz w:val="28"/>
          <w:szCs w:val="28"/>
        </w:rPr>
        <w:t>Движение численности не занятых трудовой деятельностью граждан,</w:t>
      </w:r>
      <w:bookmarkStart w:id="11" w:name="_Toc13232189"/>
      <w:bookmarkStart w:id="12" w:name="_Toc8207619"/>
      <w:bookmarkStart w:id="13" w:name="_Toc535333332"/>
      <w:bookmarkStart w:id="14" w:name="_Toc528850233"/>
      <w:bookmarkStart w:id="15" w:name="_Toc526430036"/>
      <w:bookmarkStart w:id="16" w:name="_Toc498078995"/>
      <w:r>
        <w:rPr>
          <w:color w:val="2C2D2E"/>
          <w:sz w:val="28"/>
          <w:szCs w:val="28"/>
        </w:rPr>
        <w:t xml:space="preserve"> состоящих на учете в органах государственной службы занятости</w:t>
      </w:r>
      <w:bookmarkEnd w:id="10"/>
      <w:bookmarkEnd w:id="11"/>
      <w:bookmarkEnd w:id="12"/>
      <w:bookmarkEnd w:id="13"/>
      <w:bookmarkEnd w:id="14"/>
      <w:bookmarkEnd w:id="15"/>
      <w:bookmarkEnd w:id="16"/>
      <w:r>
        <w:rPr>
          <w:color w:val="2C2D2E"/>
          <w:sz w:val="28"/>
          <w:szCs w:val="28"/>
        </w:rPr>
        <w:t>: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состояло на конец февраля 2026 г – 87 человек;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поставлено в марте 2026 года – 20 человек;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снято в марте 2026 года – 29 человек;</w:t>
      </w:r>
    </w:p>
    <w:p w:rsid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состояло на конец марта 2026 г.- 78 человек.  </w:t>
      </w:r>
    </w:p>
    <w:p w:rsidR="000C290C" w:rsidRPr="00620971" w:rsidRDefault="00620971" w:rsidP="00620971">
      <w:pPr>
        <w:pStyle w:val="msonospacingmrcssattr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Численность зарегистрированных безработных на конец февраля 2026 года - 77 человек; на конец марта 2026 года – 72 человека. Число заявленных вакансий на конец марта 2026 года - 169. Коэффициент напряженности на рынке труда на конец марта 2026 года - 0,5 человека.  </w:t>
      </w:r>
    </w:p>
    <w:sectPr w:rsidR="000C290C" w:rsidRPr="00620971" w:rsidSect="000C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620971"/>
    <w:rsid w:val="000C290C"/>
    <w:rsid w:val="004826DA"/>
    <w:rsid w:val="00620971"/>
    <w:rsid w:val="006650E6"/>
    <w:rsid w:val="00B051FF"/>
    <w:rsid w:val="00CE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mrcssattr">
    <w:name w:val="msonospacing_mr_css_attr"/>
    <w:basedOn w:val="a"/>
    <w:rsid w:val="0062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2026-06-25T11:26:00Z</dcterms:created>
  <dcterms:modified xsi:type="dcterms:W3CDTF">2026-06-25T11:27:00Z</dcterms:modified>
</cp:coreProperties>
</file>