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B" w:rsidRPr="00C521BB" w:rsidRDefault="00C521BB" w:rsidP="00C5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521BB" w:rsidRPr="00C521BB" w:rsidRDefault="00C521BB" w:rsidP="00C5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 ЗАБАЙКАЛЬСКОГО КРАЯ</w:t>
      </w:r>
    </w:p>
    <w:p w:rsidR="00C521BB" w:rsidRPr="00C521BB" w:rsidRDefault="00C521BB" w:rsidP="00C5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b/>
          <w:sz w:val="28"/>
          <w:szCs w:val="28"/>
        </w:rPr>
        <w:t>(двенадцатая сессия седьмого созыва)</w:t>
      </w:r>
    </w:p>
    <w:p w:rsidR="00C521BB" w:rsidRPr="00C521BB" w:rsidRDefault="00C521BB" w:rsidP="00C5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1BB" w:rsidRPr="00C521BB" w:rsidRDefault="00C521BB" w:rsidP="00C5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b/>
          <w:iCs/>
          <w:sz w:val="28"/>
          <w:szCs w:val="28"/>
        </w:rPr>
        <w:t>РЕШЕНИЕ</w:t>
      </w:r>
    </w:p>
    <w:p w:rsidR="00C521BB" w:rsidRPr="00C521BB" w:rsidRDefault="00C521BB" w:rsidP="00C52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</w:p>
    <w:p w:rsidR="00C521BB" w:rsidRPr="00C521BB" w:rsidRDefault="00C521BB" w:rsidP="00C521B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21BB">
        <w:rPr>
          <w:rFonts w:ascii="Times New Roman" w:eastAsia="Times New Roman" w:hAnsi="Times New Roman" w:cs="Times New Roman"/>
          <w:iCs/>
          <w:sz w:val="28"/>
          <w:szCs w:val="28"/>
        </w:rPr>
        <w:t xml:space="preserve">14 июня 2023 года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521B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№ 121</w:t>
      </w:r>
    </w:p>
    <w:p w:rsidR="00C521BB" w:rsidRPr="00C521BB" w:rsidRDefault="00C521BB" w:rsidP="00C521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21BB">
        <w:rPr>
          <w:rFonts w:ascii="Times New Roman" w:eastAsia="Times New Roman" w:hAnsi="Times New Roman" w:cs="Times New Roman"/>
          <w:iCs/>
          <w:sz w:val="24"/>
          <w:szCs w:val="24"/>
        </w:rPr>
        <w:t>пгт. Оловянная</w:t>
      </w:r>
    </w:p>
    <w:p w:rsidR="006B0E45" w:rsidRPr="006B0E45" w:rsidRDefault="006B0E45" w:rsidP="006B0E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45">
        <w:rPr>
          <w:rFonts w:ascii="Times New Roman" w:hAnsi="Times New Roman" w:cs="Times New Roman"/>
          <w:b/>
          <w:sz w:val="28"/>
          <w:szCs w:val="28"/>
        </w:rPr>
        <w:t xml:space="preserve">Об отчете Контрольно-счетной палаты </w:t>
      </w:r>
    </w:p>
    <w:p w:rsidR="006B0E45" w:rsidRPr="006B0E45" w:rsidRDefault="006B0E45" w:rsidP="006B0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6B0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19 Феде</w:t>
      </w:r>
      <w:r w:rsidR="00C521BB">
        <w:rPr>
          <w:rFonts w:ascii="Times New Roman" w:eastAsia="Times New Roman" w:hAnsi="Times New Roman" w:cs="Times New Roman"/>
          <w:sz w:val="28"/>
          <w:szCs w:val="28"/>
        </w:rPr>
        <w:t>рального закона от 07.02.2011 № </w:t>
      </w:r>
      <w:r w:rsidRPr="006B0E45">
        <w:rPr>
          <w:rFonts w:ascii="Times New Roman" w:eastAsia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р</w:t>
      </w:r>
      <w:r w:rsidRPr="006B0E4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ассмотрев отчет о деятельности Контрольно-счетной палаты муниципального района «Оловяннинский район»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B0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</w:t>
      </w: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 Совет муниципального района «Оловяннинский район» 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4" w:right="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>1. Отчёт о деятельности Контрольно-счётной палаты муниципального района «Оловяннинский район»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 (прилагается). 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7" w:history="1">
        <w:r w:rsidRPr="00C521BB">
          <w:rPr>
            <w:rFonts w:ascii="Times New Roman" w:eastAsia="Times New Roman" w:hAnsi="Times New Roman" w:cs="Times New Roman"/>
            <w:sz w:val="28"/>
            <w:szCs w:val="28"/>
          </w:rPr>
          <w:t>https://olovyan.75.ru</w:t>
        </w:r>
      </w:hyperlink>
      <w:r w:rsidRPr="00C52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      Председатель Совета</w:t>
      </w:r>
    </w:p>
    <w:p w:rsidR="006B0E45" w:rsidRP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муниципального района</w:t>
      </w:r>
    </w:p>
    <w:p w:rsidR="006B0E45" w:rsidRDefault="006B0E45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E45">
        <w:rPr>
          <w:rFonts w:ascii="Times New Roman" w:eastAsia="Times New Roman" w:hAnsi="Times New Roman" w:cs="Times New Roman"/>
          <w:sz w:val="28"/>
          <w:szCs w:val="28"/>
        </w:rPr>
        <w:t xml:space="preserve">      «Оловяннинский район»                                             А.А. Пешков</w:t>
      </w: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D1A" w:rsidRPr="006B0E45" w:rsidRDefault="00235D1A" w:rsidP="006B0E45">
      <w:pPr>
        <w:autoSpaceDE w:val="0"/>
        <w:autoSpaceDN w:val="0"/>
        <w:adjustRightInd w:val="0"/>
        <w:spacing w:after="0" w:line="240" w:lineRule="auto"/>
        <w:ind w:left="6"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80F" w:rsidRDefault="0044380F" w:rsidP="00235D1A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44380F" w:rsidSect="00954AF1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D1A" w:rsidRPr="00235D1A" w:rsidRDefault="00235D1A" w:rsidP="00235D1A">
      <w:pPr>
        <w:tabs>
          <w:tab w:val="left" w:pos="360"/>
          <w:tab w:val="left" w:pos="1800"/>
          <w:tab w:val="left" w:pos="3780"/>
          <w:tab w:val="left" w:pos="5040"/>
          <w:tab w:val="left" w:pos="5220"/>
          <w:tab w:val="left" w:pos="6840"/>
          <w:tab w:val="left" w:pos="7740"/>
          <w:tab w:val="left" w:pos="93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r w:rsidRPr="00235D1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КОНТРОЛЬНО-СЧЕТНАЯ  ПАЛАТА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5D1A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РАЙОНА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35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«ОЛОВЯННИНСКИЙ РАЙОН»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 xml:space="preserve">674500 </w:t>
      </w:r>
      <w:proofErr w:type="spellStart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proofErr w:type="gramStart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>.О</w:t>
      </w:r>
      <w:proofErr w:type="gramEnd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>ловянная</w:t>
      </w:r>
      <w:proofErr w:type="spellEnd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>ул.Московская</w:t>
      </w:r>
      <w:proofErr w:type="spellEnd"/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 xml:space="preserve"> 47, тел.30(253)45-6-42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35D1A">
        <w:rPr>
          <w:rFonts w:ascii="Times New Roman" w:eastAsia="Times New Roman" w:hAnsi="Times New Roman" w:cs="Times New Roman"/>
          <w:bCs/>
          <w:sz w:val="20"/>
          <w:szCs w:val="20"/>
        </w:rPr>
        <w:t xml:space="preserve">ОКПО 93771902, ОГРН 1067515002554, ИНН/КПП 7515006486/751501001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5D1A" w:rsidRPr="00235D1A" w:rsidRDefault="00235D1A" w:rsidP="00235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235D1A" w:rsidRPr="00235D1A" w:rsidRDefault="00235D1A" w:rsidP="00235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Контрольно-счетной палаты </w:t>
      </w:r>
    </w:p>
    <w:p w:rsidR="00235D1A" w:rsidRPr="00235D1A" w:rsidRDefault="00235D1A" w:rsidP="00235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района «Оловяннинский  район»  за  2022  год</w:t>
      </w:r>
    </w:p>
    <w:p w:rsidR="00235D1A" w:rsidRPr="00235D1A" w:rsidRDefault="00E05A6A" w:rsidP="008A738C">
      <w:pPr>
        <w:tabs>
          <w:tab w:val="left" w:pos="629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35D1A" w:rsidRPr="00235D1A">
        <w:rPr>
          <w:rFonts w:ascii="Times New Roman" w:eastAsia="Times New Roman" w:hAnsi="Times New Roman" w:cs="Times New Roman"/>
          <w:b/>
          <w:sz w:val="24"/>
          <w:szCs w:val="24"/>
        </w:rPr>
        <w:t xml:space="preserve">   27  марта 2023 года</w:t>
      </w:r>
    </w:p>
    <w:p w:rsidR="00235D1A" w:rsidRPr="00235D1A" w:rsidRDefault="00235D1A" w:rsidP="00737379">
      <w:pPr>
        <w:tabs>
          <w:tab w:val="left" w:pos="6291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Настоящий отчет подготовлен в соответствии с требованиями части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 статьи 20 Положения  «О Контрольно-счетной палате муниципальног</w:t>
      </w:r>
      <w:r w:rsidR="00E05A6A">
        <w:rPr>
          <w:rFonts w:ascii="Times New Roman" w:eastAsia="Times New Roman" w:hAnsi="Times New Roman" w:cs="Times New Roman"/>
          <w:sz w:val="24"/>
          <w:szCs w:val="24"/>
        </w:rPr>
        <w:t>о района «Оловяннинский район»,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E05A6A">
        <w:rPr>
          <w:rFonts w:ascii="Times New Roman" w:eastAsia="Times New Roman" w:hAnsi="Times New Roman" w:cs="Times New Roman"/>
          <w:sz w:val="24"/>
          <w:szCs w:val="24"/>
        </w:rPr>
        <w:t>решением Совета  муниципального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E05A6A">
        <w:rPr>
          <w:rFonts w:ascii="Times New Roman" w:eastAsia="Times New Roman" w:hAnsi="Times New Roman" w:cs="Times New Roman"/>
          <w:sz w:val="24"/>
          <w:szCs w:val="24"/>
        </w:rPr>
        <w:t>на «Оловяннинский район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от 07.12.2011 г. № 233 (далее – Положение о Контрольно-счетной палате).</w:t>
      </w:r>
      <w:proofErr w:type="gramEnd"/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отчете отражена информация о деятельности Контрольно-счетной палаты муниципального район «Оловяннинский район» (далее – Контрольно-счетная палата, КСП)  за 2022 год  по выполнению полномочий в сфере внешнего муниципального финансового контроля,  которые определены законодательством Российской Федерации и нормативными  правовыми актами муниципального района,  а также </w:t>
      </w:r>
      <w:r w:rsidR="00E05A6A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Соглашениями,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заключенными с представительными органами поселений о передаче части полномочий по осуществлению внешнего муниципального финансового контроля. </w:t>
      </w:r>
      <w:proofErr w:type="gramEnd"/>
    </w:p>
    <w:p w:rsidR="00235D1A" w:rsidRPr="00235D1A" w:rsidRDefault="00E05A6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Контрольно-</w:t>
      </w:r>
      <w:r>
        <w:rPr>
          <w:rFonts w:ascii="Times New Roman" w:eastAsia="Times New Roman" w:hAnsi="Times New Roman" w:cs="Times New Roman"/>
          <w:sz w:val="24"/>
          <w:szCs w:val="24"/>
        </w:rPr>
        <w:t>счетной палаты осуществлялась в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планом  работы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рольно-счетной палаты на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год, приоритетными направлениями деятельности КСП в 2022 году продолжало оставаться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контроля, целью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которого является предотвращение </w:t>
      </w:r>
      <w:r>
        <w:rPr>
          <w:rFonts w:ascii="Times New Roman" w:eastAsia="Times New Roman" w:hAnsi="Times New Roman" w:cs="Times New Roman"/>
          <w:sz w:val="24"/>
          <w:szCs w:val="24"/>
        </w:rPr>
        <w:t>и предупреждение нарушений в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финансово-бюджетной сфере, содейст</w:t>
      </w:r>
      <w:r>
        <w:rPr>
          <w:rFonts w:ascii="Times New Roman" w:eastAsia="Times New Roman" w:hAnsi="Times New Roman" w:cs="Times New Roman"/>
          <w:sz w:val="24"/>
          <w:szCs w:val="24"/>
        </w:rPr>
        <w:t>вие совершенствованию муниципального управления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 направления  рекомендаций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sz w:val="24"/>
          <w:szCs w:val="24"/>
        </w:rPr>
        <w:t>льно-счетной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проведенных контрольных и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экспертно-аналитических мероприятий.</w:t>
      </w:r>
      <w:proofErr w:type="gramEnd"/>
    </w:p>
    <w:p w:rsidR="00235D1A" w:rsidRPr="00235D1A" w:rsidRDefault="00E05A6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отметить, что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для Контрольно-счетной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палаты отмечен  преобразованиям</w:t>
      </w:r>
      <w:r>
        <w:rPr>
          <w:rFonts w:ascii="Times New Roman" w:eastAsia="Times New Roman" w:hAnsi="Times New Roman" w:cs="Times New Roman"/>
          <w:sz w:val="24"/>
          <w:szCs w:val="24"/>
        </w:rPr>
        <w:t>и  в организации  деятельности,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мость которых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обусловлена 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изменениями, внесенными в федеральное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законодательство,  ре</w:t>
      </w:r>
      <w:r>
        <w:rPr>
          <w:rFonts w:ascii="Times New Roman" w:eastAsia="Times New Roman" w:hAnsi="Times New Roman" w:cs="Times New Roman"/>
          <w:sz w:val="24"/>
          <w:szCs w:val="24"/>
        </w:rPr>
        <w:t>гулирующее вопросы  организации и деятельности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контрольно-счетных  органов субъектов Российской Федерации  и муниципальных  образований.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Так, в 2021 году Федеральным законом от 1 июля 2021 г. № 255-ФЗ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br/>
        <w:t xml:space="preserve">внесены изменения в Федеральный закон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С учетом внесенных поправок в вышеуказанный федеральный закон в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Контрольно-счетной палате  были внесены соответствующие изменения, которые были приняты решением Совета муниципального района  от 31.03.2022 г. № 37. Изменения затронули различные направления. </w:t>
      </w:r>
    </w:p>
    <w:p w:rsidR="00235D1A" w:rsidRPr="00235D1A" w:rsidRDefault="007D2120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 перечень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полномо</w:t>
      </w:r>
      <w:r>
        <w:rPr>
          <w:rFonts w:ascii="Times New Roman" w:eastAsia="Times New Roman" w:hAnsi="Times New Roman" w:cs="Times New Roman"/>
          <w:sz w:val="24"/>
          <w:szCs w:val="24"/>
        </w:rPr>
        <w:t>чий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палаты. В целях укрепления  статуса  контрольн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о-счетных органов должности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председателя  и 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удитора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тнесены к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муниципальным должностям</w:t>
      </w:r>
      <w:r>
        <w:rPr>
          <w:rFonts w:ascii="Times New Roman" w:eastAsia="Times New Roman" w:hAnsi="Times New Roman" w:cs="Times New Roman"/>
          <w:sz w:val="24"/>
          <w:szCs w:val="24"/>
        </w:rPr>
        <w:t>, закреплено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 Контрольно-счетной палаты на постоянный доступ к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арственным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информационным системам, усовершенствован порядок внесения и исполнения представлений и предписаний Контрольно-счетной палаты и ряд других.</w:t>
      </w:r>
    </w:p>
    <w:p w:rsidR="00235D1A" w:rsidRPr="00235D1A" w:rsidRDefault="00235D1A" w:rsidP="00737379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Основные итоги  деятельности за 2022 год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10 Федерального закона № 6-ФЗ внешний муниципальный финансовый контроль осуществляется в форме контрольных или экспертно-аналитических мероприятий.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2022 году Контрольно-счетной палатой проведено  </w:t>
      </w: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и экспертно-аналитических мероприятий, в том числе:</w:t>
      </w:r>
    </w:p>
    <w:p w:rsidR="00235D1A" w:rsidRPr="00235D1A" w:rsidRDefault="00F64C36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80.3pt;margin-top:42pt;width:27.75pt;height:20.25pt;z-index:251663360" strokecolor="white [3212]">
            <v:textbox style="mso-next-textbox:#_x0000_s1031">
              <w:txbxContent>
                <w:p w:rsidR="00F64C36" w:rsidRPr="00F64C36" w:rsidRDefault="00737379" w:rsidP="00F64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D1A" w:rsidRPr="00235D1A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контрольных мероприятий в отношении 11 объектов проверок, из них:  6 - плановые проверки законности, результативности (эффективности и экономности) использования бюджетных средств (с элементами аудита в сфере закупок),  1 – проверка соблюдения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установленного порядка управления и распоряжения имуществом, находящимся в  собственности муниципального района, 2 - проверки отдельных вопросов формирования и исполнения  бюджетов поселений, 1 - проверка полноты исполнения представлений КСП;</w:t>
      </w:r>
      <w:proofErr w:type="gramEnd"/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экспертных и аналитических мероприятия, из них: 22 - по экспертизе проектов бюджетов и внесению изменений в них, 26 - по внешней проверке годового отчета об исполнении бюджета, совместно с проверкой годовой бюджетной отчетности главных администраторов бюджетных средств, 4 - по экспертизе проектов нормативных правовых актов, в части, касающейся расходных обязательств муниципального района, а также муниципальных программ, 3 - о ходе исполнения  бюджета района.</w:t>
      </w:r>
      <w:proofErr w:type="gramEnd"/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мероприятий подготовлено 70 документов,  в том числе:  актов проверок – 10, отчетов по результатам проверок – 5, заключений – 52, аналитических записок – 3.</w:t>
      </w:r>
    </w:p>
    <w:p w:rsidR="00235D1A" w:rsidRPr="00235D1A" w:rsidRDefault="00235D1A" w:rsidP="0073737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      В целом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проведенных контрольных и экспертно-аналитических мероприятий выявлено  всего 369 нарушений, общая сумма выявленных нарушений составила 176 730,4 тыс. рублей.  Сведения о выявленных КСП нарушениях в 2022 году в соответствии с Классификатором нарушений,  представлены в таблице: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417"/>
        <w:gridCol w:w="851"/>
        <w:gridCol w:w="1276"/>
        <w:gridCol w:w="708"/>
      </w:tblGrid>
      <w:tr w:rsidR="00235D1A" w:rsidRPr="00235D1A" w:rsidTr="008A738C">
        <w:trPr>
          <w:tblHeader/>
        </w:trPr>
        <w:tc>
          <w:tcPr>
            <w:tcW w:w="426" w:type="dxa"/>
            <w:vMerge w:val="restart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35D1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35D1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Нарушения</w:t>
            </w:r>
          </w:p>
        </w:tc>
        <w:tc>
          <w:tcPr>
            <w:tcW w:w="4252" w:type="dxa"/>
            <w:gridSpan w:val="4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42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2022 год</w:t>
            </w:r>
          </w:p>
        </w:tc>
      </w:tr>
      <w:tr w:rsidR="008A738C" w:rsidRPr="00235D1A" w:rsidTr="008A738C">
        <w:trPr>
          <w:tblHeader/>
        </w:trPr>
        <w:tc>
          <w:tcPr>
            <w:tcW w:w="426" w:type="dxa"/>
            <w:vMerge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нарушений</w:t>
            </w:r>
          </w:p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(ед.)</w:t>
            </w:r>
          </w:p>
        </w:tc>
        <w:tc>
          <w:tcPr>
            <w:tcW w:w="851" w:type="dxa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Удельный</w:t>
            </w:r>
          </w:p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вес</w:t>
            </w:r>
            <w:proofErr w:type="gramStart"/>
            <w:r w:rsidRPr="00235D1A">
              <w:rPr>
                <w:rFonts w:ascii="Times New Roman" w:eastAsia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Сумма нарушений (тыс. руб.)</w:t>
            </w:r>
          </w:p>
        </w:tc>
        <w:tc>
          <w:tcPr>
            <w:tcW w:w="708" w:type="dxa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Удельный вес</w:t>
            </w:r>
            <w:proofErr w:type="gramStart"/>
            <w:r w:rsidRPr="00235D1A">
              <w:rPr>
                <w:rFonts w:ascii="Times New Roman" w:eastAsia="Times New Roman" w:hAnsi="Times New Roman"/>
                <w:b/>
              </w:rPr>
              <w:t xml:space="preserve"> (%)</w:t>
            </w:r>
            <w:proofErr w:type="gramEnd"/>
          </w:p>
        </w:tc>
      </w:tr>
      <w:tr w:rsidR="008A738C" w:rsidRPr="00235D1A" w:rsidTr="008A738C">
        <w:trPr>
          <w:trHeight w:val="255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при  формировании и исполнении бюджетов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27,1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19 766,9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11,2</w:t>
            </w:r>
          </w:p>
        </w:tc>
      </w:tr>
      <w:tr w:rsidR="008A738C" w:rsidRPr="00235D1A" w:rsidTr="008A738C">
        <w:trPr>
          <w:trHeight w:val="418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851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40,1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111 533,9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63,1</w:t>
            </w:r>
          </w:p>
        </w:tc>
      </w:tr>
      <w:tr w:rsidR="008A738C" w:rsidRPr="00235D1A" w:rsidTr="008A738C">
        <w:trPr>
          <w:trHeight w:val="468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851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13,3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29 597,1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ind w:firstLine="2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16,7</w:t>
            </w:r>
          </w:p>
        </w:tc>
      </w:tr>
      <w:tr w:rsidR="008A738C" w:rsidRPr="00235D1A" w:rsidTr="008A738C">
        <w:trPr>
          <w:trHeight w:val="518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 xml:space="preserve">Нарушения при осуществлении государственных (муниципальных) закупок 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1 546,0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0,9</w:t>
            </w:r>
          </w:p>
        </w:tc>
      </w:tr>
      <w:tr w:rsidR="008A738C" w:rsidRPr="00235D1A" w:rsidTr="008A738C">
        <w:trPr>
          <w:trHeight w:val="229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Неэффективное использование бюджетных  средств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14 286,5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8,1</w:t>
            </w:r>
          </w:p>
        </w:tc>
      </w:tr>
      <w:tr w:rsidR="008A738C" w:rsidRPr="00235D1A" w:rsidTr="008A738C">
        <w:trPr>
          <w:trHeight w:val="311"/>
        </w:trPr>
        <w:tc>
          <w:tcPr>
            <w:tcW w:w="42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Всего нарушений</w:t>
            </w:r>
          </w:p>
        </w:tc>
        <w:tc>
          <w:tcPr>
            <w:tcW w:w="1417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369</w:t>
            </w:r>
          </w:p>
        </w:tc>
        <w:tc>
          <w:tcPr>
            <w:tcW w:w="851" w:type="dxa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176 730,4</w:t>
            </w:r>
          </w:p>
        </w:tc>
        <w:tc>
          <w:tcPr>
            <w:tcW w:w="708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100,0</w:t>
            </w:r>
          </w:p>
        </w:tc>
      </w:tr>
    </w:tbl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деятельности Контрольно-счетной палаты в 2022 году количество выявленных нарушений при про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ведении контрольных мероприятий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составило 175 случаев, что в 2,0 раза больше, чем за 2021 год (87), при проведении экспертно-аналитических  мероприятий  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выявленных нарушений составило 194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случая, что  на 35,7  % больше,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 xml:space="preserve"> чем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за  2021 год (143).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Объем нарушений  по  результатам  контрольных мероприятий  составил 35 925,5  тыс. рублей, что ниже на 47 251,0 тыс. рублей, чем за 20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 xml:space="preserve">21 год (83 176,5 тыс. рублей).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В целом по результатам экспертно-аналитических мероприятий  объем нарушений составил 140 804,9 тыс. рублей, что  на 77 726,7 тыс. рублей выше, чем за 2021 год (63 078,2 тыс. рублей), в том числе бюджет района – 38 897,1 тыс. рублей (27,6 %),  бюджеты посел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ений – 101 907,8  тыс. рублей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(72,4 %).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мероприятий в органы местного самоуправления,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 Контрольно-счетной палатой направлено: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1 предписание в адрес Администрации сельского поселения «Степнинское»,  выполнено частично и находится на контроле$  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10 представлений, из них 4 выполнено в установленные сроки, 2 выполнено частично и находится на контроле  и в отношении 4 срок выполнения не наступил;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9 информационных писем, в том числе: Главе муниципального района «Оловяннинский район» – 1, в Прокуратуру «Оловяннинского района» - 1, в другие органы местного самоуправления  муниципального 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района «Оловяннинский район»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– 4, 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муниципальные организации –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2, органам государственно</w:t>
      </w:r>
      <w:r w:rsidR="007D2120">
        <w:rPr>
          <w:rFonts w:ascii="Times New Roman" w:eastAsia="Times New Roman" w:hAnsi="Times New Roman" w:cs="Times New Roman"/>
          <w:sz w:val="24"/>
          <w:szCs w:val="24"/>
        </w:rPr>
        <w:t>й власти Забайкальского края –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представлений 2 должностных лица привлечены к дисциплинарной ответственности (2021 год – 4). По результатам направленных предложений и рекомендаций органами местного самоуправления принято 2 муниципальных правовых актов (в 1 внесены изменения) и  1 локальный правовой акт.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 проверок в рамках компетенции, предусмотренной Кодексом Российской Федерации об административных правонарушениях,   аудитором Контрольно-счетной палаты составлено 2 административных протокола (судом наложен 1 административный штраф на сумму 15,0 тыс. рублей,  по 1 - объявлено устное замечание).</w:t>
      </w:r>
    </w:p>
    <w:p w:rsidR="00235D1A" w:rsidRPr="00235D1A" w:rsidRDefault="00737379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87.8pt;margin-top:11.2pt;width:27.75pt;height:20.25pt;z-index:251658240" strokecolor="white [3212]">
            <v:textbox style="mso-next-textbox:#_x0000_s1026">
              <w:txbxContent>
                <w:p w:rsidR="00F64C36" w:rsidRPr="00F64C36" w:rsidRDefault="00F64C36">
                  <w:pPr>
                    <w:rPr>
                      <w:sz w:val="20"/>
                      <w:szCs w:val="20"/>
                    </w:rPr>
                  </w:pPr>
                  <w:r w:rsidRPr="00F64C36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для принятия мер реагирования результаты одного контрольного мероприятия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направлены в Государственную инспекцию труда в Забайкальском крае. Объекту контроля Государственной инспекцией труда в Забайкальском крае  направлено предостережение  о недопустимости  нарушения обязательных требований трудового законодательства (ответ от 09.08.2022 № 75/10-737-22-ОБ). 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2022 году Контрольно-счетная палата продолжила работу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по активному взаимодействию с правоохранительными органами района в соответствии с заключенными соглашениями о взаимодействии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и сотрудничестве. По результатам рассмотрения материалов проверок КСП прокуратурой  района  вынесено 6 представлений об устранении нарушений бюджетного законодательства.</w:t>
      </w:r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По итогам проверок,  проведенных за 2022 год,  из выявленных     нарушений на сумму 176 730,4 тыс. рублей  подлежат устранению нарушения в объеме 19 222,1 тыс. рублей,  из них устранено на сумму 12 726,0 тыс. рублей,  или 66,2 %. Из общей суммы устраненных нарушений обеспечено поступление и возврат средств в бюджет района  в сумме 793,5  тыс. рублей.</w:t>
      </w:r>
      <w:proofErr w:type="gramEnd"/>
    </w:p>
    <w:p w:rsidR="00235D1A" w:rsidRPr="00235D1A" w:rsidRDefault="00235D1A" w:rsidP="00737379">
      <w:pPr>
        <w:widowControl w:val="0"/>
        <w:numPr>
          <w:ilvl w:val="12"/>
          <w:numId w:val="0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Устранение в разрезе видов нарушений представлено следующими данными: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24"/>
        <w:gridCol w:w="4822"/>
        <w:gridCol w:w="1241"/>
        <w:gridCol w:w="1176"/>
        <w:gridCol w:w="1276"/>
        <w:gridCol w:w="1275"/>
      </w:tblGrid>
      <w:tr w:rsidR="00235D1A" w:rsidRPr="00235D1A" w:rsidTr="008A738C">
        <w:trPr>
          <w:trHeight w:val="244"/>
        </w:trPr>
        <w:tc>
          <w:tcPr>
            <w:tcW w:w="524" w:type="dxa"/>
            <w:vMerge w:val="restart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№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5D1A">
              <w:rPr>
                <w:rFonts w:ascii="Times New Roman" w:eastAsia="Times New Roman" w:hAnsi="Times New Roman"/>
              </w:rPr>
              <w:t>п</w:t>
            </w:r>
            <w:proofErr w:type="gramEnd"/>
            <w:r w:rsidRPr="00235D1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822" w:type="dxa"/>
            <w:vMerge w:val="restart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Вид нарушений</w:t>
            </w:r>
          </w:p>
        </w:tc>
        <w:tc>
          <w:tcPr>
            <w:tcW w:w="2417" w:type="dxa"/>
            <w:gridSpan w:val="2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ind w:left="208" w:hanging="208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Подлежит устранению</w:t>
            </w:r>
          </w:p>
        </w:tc>
        <w:tc>
          <w:tcPr>
            <w:tcW w:w="2551" w:type="dxa"/>
            <w:gridSpan w:val="2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Устранено</w:t>
            </w:r>
          </w:p>
        </w:tc>
      </w:tr>
      <w:tr w:rsidR="008A738C" w:rsidRPr="00235D1A" w:rsidTr="008A738C">
        <w:tc>
          <w:tcPr>
            <w:tcW w:w="524" w:type="dxa"/>
            <w:vMerge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22" w:type="dxa"/>
            <w:vMerge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1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Количество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нарушений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(ед.)</w:t>
            </w:r>
          </w:p>
        </w:tc>
        <w:tc>
          <w:tcPr>
            <w:tcW w:w="1176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Сумма нарушений (тыс. руб.)</w:t>
            </w:r>
          </w:p>
        </w:tc>
        <w:tc>
          <w:tcPr>
            <w:tcW w:w="1276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Количество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нарушений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(ед.)</w:t>
            </w:r>
          </w:p>
        </w:tc>
        <w:tc>
          <w:tcPr>
            <w:tcW w:w="1275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 xml:space="preserve">Сумма нарушений </w:t>
            </w:r>
          </w:p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(тыс. руб.)</w:t>
            </w:r>
          </w:p>
        </w:tc>
      </w:tr>
      <w:tr w:rsidR="008A738C" w:rsidRPr="00235D1A" w:rsidTr="008A738C">
        <w:tc>
          <w:tcPr>
            <w:tcW w:w="524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2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при  формировании и исполнении бюджетов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ind w:left="164" w:hanging="164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413,7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413,7</w:t>
            </w:r>
          </w:p>
        </w:tc>
      </w:tr>
      <w:tr w:rsidR="008A738C" w:rsidRPr="00235D1A" w:rsidTr="008A738C">
        <w:tc>
          <w:tcPr>
            <w:tcW w:w="524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2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8 258,1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8 198,6</w:t>
            </w:r>
          </w:p>
        </w:tc>
      </w:tr>
      <w:tr w:rsidR="008A738C" w:rsidRPr="00235D1A" w:rsidTr="008A738C">
        <w:tc>
          <w:tcPr>
            <w:tcW w:w="524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2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9 386,8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4 100,4</w:t>
            </w:r>
          </w:p>
        </w:tc>
      </w:tr>
      <w:tr w:rsidR="008A738C" w:rsidRPr="00235D1A" w:rsidTr="008A738C">
        <w:tc>
          <w:tcPr>
            <w:tcW w:w="524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2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 xml:space="preserve">Нарушения при осуществлении государственных (муниципальных) закупок 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148,3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13,3</w:t>
            </w:r>
          </w:p>
        </w:tc>
      </w:tr>
      <w:tr w:rsidR="008A738C" w:rsidRPr="00235D1A" w:rsidTr="008A738C">
        <w:tc>
          <w:tcPr>
            <w:tcW w:w="524" w:type="dxa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22" w:type="dxa"/>
            <w:vAlign w:val="center"/>
          </w:tcPr>
          <w:p w:rsidR="00235D1A" w:rsidRPr="00235D1A" w:rsidRDefault="00235D1A" w:rsidP="00235D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Неэффективное использование бюджетных  средств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1 015,2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35D1A">
              <w:rPr>
                <w:rFonts w:ascii="Times New Roman" w:eastAsia="Times New Roman" w:hAnsi="Times New Roman"/>
              </w:rPr>
              <w:t>0</w:t>
            </w:r>
          </w:p>
        </w:tc>
      </w:tr>
      <w:tr w:rsidR="008A738C" w:rsidRPr="00235D1A" w:rsidTr="008A738C">
        <w:trPr>
          <w:trHeight w:hRule="exact" w:val="367"/>
        </w:trPr>
        <w:tc>
          <w:tcPr>
            <w:tcW w:w="5346" w:type="dxa"/>
            <w:gridSpan w:val="2"/>
          </w:tcPr>
          <w:p w:rsidR="00235D1A" w:rsidRPr="00235D1A" w:rsidRDefault="00235D1A" w:rsidP="008A738C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241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93</w:t>
            </w:r>
          </w:p>
        </w:tc>
        <w:tc>
          <w:tcPr>
            <w:tcW w:w="11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19 222,1</w:t>
            </w:r>
          </w:p>
        </w:tc>
        <w:tc>
          <w:tcPr>
            <w:tcW w:w="1276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1275" w:type="dxa"/>
            <w:vAlign w:val="center"/>
          </w:tcPr>
          <w:p w:rsidR="00235D1A" w:rsidRPr="00235D1A" w:rsidRDefault="00235D1A" w:rsidP="00235D1A">
            <w:pPr>
              <w:widowControl w:val="0"/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235D1A">
              <w:rPr>
                <w:rFonts w:ascii="Times New Roman" w:eastAsia="Times New Roman" w:hAnsi="Times New Roman"/>
                <w:b/>
              </w:rPr>
              <w:t>12 726,0</w:t>
            </w:r>
          </w:p>
        </w:tc>
      </w:tr>
    </w:tbl>
    <w:p w:rsidR="00235D1A" w:rsidRPr="00235D1A" w:rsidRDefault="00235D1A" w:rsidP="00235D1A">
      <w:pPr>
        <w:widowControl w:val="0"/>
        <w:numPr>
          <w:ilvl w:val="12"/>
          <w:numId w:val="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Кроме того,  по состоянию на 01.01.2022 года  на контроле находится устранение нарушений по итогам проверок  прошлых отчетных периодов в количестве 14  случаев на сумму 7 846,5  тыс. рублей,  из них за 2022 год устранено 10 нарушений в объеме 7 638,5 тыс. рублей,  или 97,3 %.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>Итоги  основных   контрольных и экспертно-аналитических мероприятий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1. Краткие итоги контрольного мероприятия «Проверка отдельных вопросов соблюдения  установленного порядка управления и распоряжения имуществом, находящимся в муниципальной собственности муниципального района «Оловяннинский район».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  <w:u w:val="single"/>
        </w:rPr>
        <w:t>Объект проверки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: Муниципальное казенное учреждение Комитет по управлению муниципальным имуществом администрации муниципального района «Оловяннинский район» (далее – КУМИ),  проверяемый период – 2021 год.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нарушений  по результатам контрольного мероприятия  составила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 xml:space="preserve">16 835,8 тыс. рублей, в том числе в ходе исполнения бюджета – 453,4 тыс. рублей, в сфере бухгалтерского учета и отчетности – 8 172,3 тыс. рублей,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сфере управления и распоряжения муниципальной собственностью составляет –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>8 210,1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Общее количество нарушений – 87  случаев.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результатам контрольного мероприятия были выявлены следующие нарушения и недостатки: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1) Реестр муниципального имущества по состоянию на 01.01.2022 года  не является инструментом достоверной оценки наличия, объема, ценности и динамики муниципального имущества. Так,  ведение Реестра муниципального имущества района осуществлялось с нарушениями требований Приказа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имущества»: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Реестр на протяжении ряда лет не актуализировался, в результате на 01.01.2022 года его данные являются неактуальными, необъективными и неполными в части состава муниципального имущества, его балансовой и кадастровой стоимости, информации о балансодержателях; установлены случаи как несвоевременного исключения из состава Реестра,  имущества, не являющегося собственностью района, так и  наличие в Реестре  неучтенного имущества.</w:t>
      </w:r>
      <w:proofErr w:type="gramEnd"/>
    </w:p>
    <w:p w:rsidR="00235D1A" w:rsidRPr="00235D1A" w:rsidRDefault="00737379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83.3pt;margin-top:27.35pt;width:27.75pt;height:20.25pt;z-index:251659264" strokecolor="white [3212]">
            <v:textbox style="mso-next-textbox:#_x0000_s1027">
              <w:txbxContent>
                <w:p w:rsidR="00F64C36" w:rsidRPr="00F64C36" w:rsidRDefault="00F64C36" w:rsidP="00F64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proofErr w:type="gramStart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2) Бюджетный учет имущества муниципальной казны осуществляется с нарушениями требований действующего законодательства, выразившихся в отсутствии: сформированной и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утвержденной учетной политики, порядка организации и проведения инвентаризации объектов казны, ведения аналитического учета по счету 10800 «Нефинансовые активы имущества казны» в разрезе объектов с привязкой к реестровому номеру объекта,  учета муниципального имущества на </w:t>
      </w:r>
      <w:proofErr w:type="spellStart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забалансовых</w:t>
      </w:r>
      <w:proofErr w:type="spellEnd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 счетах.</w:t>
      </w:r>
      <w:proofErr w:type="gramEnd"/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ряда лет не проводилась инвентаризация имущества казны, то есть,  нарушена периодичность ее проведения. Устоявшаяся практика  формального подхода к проведению инвентаризации имущества казны не позволяет  обеспечить  полноту и достоверность сведений, содержащихся в Реестре и бюджетном учете, а  также сохранность имущества казны. 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Так, установлены случаи: неправомерного учета объектов недвижимого и движимого имущества  казны (в отсутствие правовых оснований); учета объектов казны, которые фактически эксплуатируются муниципальными учреждениями, при  этом передача  объектов в  оперативное управление не произведена; отсутствия в Реестре отдельных объектов, которые отражены на счетах бюджетного учета и, наоборот, учитываемые в Реестре объекты, не приняты к бюджетному учету;</w:t>
      </w:r>
      <w:proofErr w:type="gramEnd"/>
      <w:r w:rsidR="00B2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отсутствия на счетах бухгалтерского учета имущества казны, переданного в безвозмездное пользование и на хранение.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3)  В невыполнение требований пункта 2 статьи 160.1 БК РФ   в проверяемом периоде имели место случаи ненадлежащее исполнение со стороны КУМИ  полномочий администратора доходов бюджета района: не в полной мере осуществлялся контроль за правильностью отражения в учете начисленных арендных платежей, своевременностью их внесения в доход бюджета района, не проводилось начисление и предъявление пени при наличии просрочки платежа, а также своевременно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осуществлялась  претензионная работа по взысканию долгов.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3 статьи 160.1 БК РФ КУМИ, как главным администратором доходов бюджета района не установлен порядок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исполнения бюджетных полномочий администратора доходов бюджета района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4) В качестве недостатков в отношении учета имущества, переданного в концессию, отмечено несоблюдение требований Федерального закона от 21.07.2005   № 115-ФЗ «О концессионных соглашениях» в части  передачи земельного участка, на котором расположены объекты концессионного соглашения (вместо передачи на условиях аренды земельный участок передан по акту приема-передачи к концессионному соглашению),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невключение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в состав концессионных соглашений полного объема имущества, предназначенного для осуществления деятельности в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области теплоснабжения и водоотведения, несоблюдение требований бюджетного законодательства в части начисления амортизации учитываемого имущества.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в соответствии с положениями статьи 17 Положения о КСП для принятия мер по устранению выявленных нарушений председателю КУМИ направлено  представление.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направленного КСП представления КУМИ приняты  необходимые меры по устранению допущенных нарушений,  установленных в рамках контрольного мероприятия,  на общую сумму 12 957,8 тыс. рублей,  что составляет 79,9  % от суммы,  подлежащей к устранению (15 770,5 тыс. рублей). На контроле КСП остается устранение нарушений на общую сумму 3 172,7  тыс. рублей.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2. Краткие итоги контрольного мероприятия «Проверка законности, эффективности и целесообразности использования бюджетных средств, выделенных  на реализацию мероприятий по благоустройству сельских территорий в рамках муниципальной программы «Комплексное развитие сельских территорий муниципального района «Оловяннинский район».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  <w:u w:val="single"/>
        </w:rPr>
        <w:t>Объект проверки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: Администрация городского поселения «Ясногорское», проверяемый период – 2021 год.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 рамках  мероприятий по благоустройству сельских территорий Администрацией городского поселения «Ясногорское» реализовывалось мероприятие – обустройство спортивной площадки размером 15м х 30м в        пгт. Ясногорск по адресу: между домами ул. Строителей д.4 и ул. Строителей д.3.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i/>
          <w:sz w:val="24"/>
          <w:szCs w:val="24"/>
        </w:rPr>
        <w:t>По результатам контрольного мероприятия установлены нарушения  и недостатки  на общую сумму 2 251,2 тыс. рублей.</w:t>
      </w:r>
    </w:p>
    <w:p w:rsidR="00235D1A" w:rsidRPr="00235D1A" w:rsidRDefault="00737379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rect id="_x0000_s1028" style="position:absolute;left:0;text-align:left;margin-left:484.8pt;margin-top:43.85pt;width:27.75pt;height:20.25pt;z-index:251660288" strokecolor="white [3212]">
            <v:textbox style="mso-next-textbox:#_x0000_s1028">
              <w:txbxContent>
                <w:p w:rsidR="00F64C36" w:rsidRPr="00F64C36" w:rsidRDefault="00F64C36" w:rsidP="00F64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1) Нарушение принципа эффективности, установленного статьей 34 Бюджетного кодекса Российской Федерации, допущено неэффективное использование бюджетных средств на общую сумму 1 015,2 тыс. рублей: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Администрацией городского поселения «Ясногорское» в 2021 году не обеспечена результативность использования средств субсидии на реализацию мероприятий по благоустройству сельских территорий в рамках муниципальной программы «Комплексное развитие сельских территорий муниципального района «Оловяннинский район». В ходе визуального осмотра выполненных и принятых работ, проведенного в рамках контрольного мероприятия, установлены следующие дефекты: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- многочисленные факты  отслоения резинового покрытия  от основания,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выкрашивания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>, отсутствие плотного прилегания кромок полотен покрытия (образование зазоров между полотнами), его вздутие (волны), что может указывать на несоблюдение технологии при  монтаже;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- в отношении смонтированного металлического ограждения зафиксированы  отсоединения металлических панелей от креплений, которые в отдельных случаях опасно выпирают вовнутрь площадки. Из представленных пояснений  должностных лиц Администрации поселения следует, что деформация ограждения спортивной площадки произошла как  в результате вандализма неустановленными лицами, так и за счет производимых ударов мячом в момент игры.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Последний аргумент также может указывать на  ненадлежащие устройство креплений металлического ограждения.  </w:t>
      </w:r>
      <w:proofErr w:type="gramEnd"/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Перечисленное позволило сделать вывод о том, что обустроенная площадка на текущий момент не подлежит эксплуатации,  так как  является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травмоопасным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объектом.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2) Нарушения требований Федерального закона от 05.04.2013 № 44-ФЗ  на общую сумму 1 062,6 тыс. рублей.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нарушение требований,  установленных положениями статьи 22 </w:t>
      </w:r>
      <w:hyperlink r:id="rId9" w:history="1">
        <w:r w:rsidRPr="00235D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Закона № 44-ФЗ</w:t>
        </w:r>
      </w:hyperlink>
      <w:r w:rsidRPr="00235D1A">
        <w:rPr>
          <w:rFonts w:ascii="Times New Roman" w:eastAsia="Times New Roman" w:hAnsi="Times New Roman" w:cs="Times New Roman"/>
          <w:sz w:val="24"/>
          <w:szCs w:val="24"/>
        </w:rPr>
        <w:t>, Приказом Минэкономразвития России от 02.10.2013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 Приказом Министерства строительства и жилищно-коммунального хозяйства РФ от 23.12.2019 № 841/</w:t>
      </w:r>
      <w:proofErr w:type="spellStart"/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Приказом Министерства строительства и жилищно-коммунального хозяйства РФ от 04.08.2020 № 421/</w:t>
      </w:r>
      <w:proofErr w:type="spellStart"/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в нарушение положений статьи 8.3 Градостроительного кодекса Российской Федерации: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допущено формирование НМЦК  без учета налога на добавленную стоимость, в результате чего НМЦК необоснованно занижена на сумму 413,5 тыс. рублей и указывает  на  необоснованное ограничение числа участников закупки; </w:t>
      </w:r>
      <w:proofErr w:type="gramEnd"/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включение в локальный сметный расчет стоимости отдельных  материалов на основании  прайс-листов на общую сумму 635,8 тыс. рублей (в текущих ценах) произведено без документального подтверждения и соответствующего расчета средней цены, что является необоснованным. Кроме того, отсутствие законодательно установленных расчетов  не позволило  подтвердить обоснованность их включения в итоговую строку  прямых затрат в базисных ценах сметного расчета и дальнейшего их пересчета в текущие цены с применением индекса изменения стоимости строительно-монтажных работ; </w:t>
      </w:r>
    </w:p>
    <w:p w:rsidR="00235D1A" w:rsidRPr="00235D1A" w:rsidRDefault="00235D1A" w:rsidP="00B2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нарушение статьи 95 Закона № 44-ФЗ  допущена   замена материалов при устройстве основания под резиновое покрытие  при отсутствии подписанного сторонами  дополнительного соглашения, подлежащего размещению в реестре контрактов единой информационной системы закупок (вместо асфальтобетонной смеси использован бетон).</w:t>
      </w:r>
    </w:p>
    <w:p w:rsidR="00235D1A" w:rsidRPr="00235D1A" w:rsidRDefault="00235D1A" w:rsidP="00B2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невыполнение требований статьи 34, 94 Закона 44-ФЗ Администрацией городского поселения «Ясногорское» не приняты меры по взысканию      неустойки за просрочку исполнения обязательств по контракту в общей сумме 13,3  тыс. рублей.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3) Нарушение бюджетного (бухгалтерского) учета на общую сумму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 xml:space="preserve">173,4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35D1A" w:rsidRPr="00235D1A" w:rsidRDefault="00737379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86.3pt;margin-top:45.8pt;width:27.75pt;height:20.25pt;z-index:251661312" strokecolor="white [3212]">
            <v:textbox style="mso-next-textbox:#_x0000_s1029">
              <w:txbxContent>
                <w:p w:rsidR="00F64C36" w:rsidRPr="00F64C36" w:rsidRDefault="00F64C36" w:rsidP="00F64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контрольного мероприятия в соответствии с положениями статьи 17 Положения о КСП для принятия мер по устранению выявленных нарушений,  в том числе о принятии безотлагательных мер об устранении нарушений в части  неэффективного </w: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бюджетных сре</w:t>
      </w:r>
      <w:proofErr w:type="gramStart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дств гл</w:t>
      </w:r>
      <w:proofErr w:type="gramEnd"/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аве городского поселения «Ясногорское»  направлено  представление.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городского поселения «Ясногорское» приняты меры по устранению нарушений, установленных в рамках контрольного мероприятия, на общую сумму 13,3 тыс. рублей, что составляет 1,3  % от суммы,  подлежащей к устранению (1 028,5 тыс. рублей).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На контроле КСП остается устранение нарушений на общую сумму 1 015,2  тыс. рублей,  в отношении которой Администрацией городского поселения в Арбитражный суд Забайкальского края  направлен иск о понуждении подрядной организации,  выполнить работы по восстановлению резинового покрытия спортивной площадки, замене  поврежденных секций металлического ограждения,  возместить  неустойку.</w:t>
      </w:r>
      <w:r w:rsidRPr="00235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Рассмотрение дела в предварительном судебном заседании Арбитражного суда назна</w:t>
      </w:r>
      <w:r w:rsidR="00B277C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чено на 10.04.2023</w:t>
      </w:r>
      <w:r w:rsidRPr="00235D1A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Краткие итоги контрольного мероприятия «Проверка законности, эффективности, целесообразности использования  бюджетных средств, выделенных на ремонт  автомобильных дорог местного значения в рамках  </w:t>
      </w:r>
      <w:proofErr w:type="gramStart"/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  <w:u w:val="single"/>
        </w:rPr>
        <w:t>Объекты проверки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: Администрация городского поселения «Калангуйское», Администрация городского поселения «Оловяннинское», Администрация городского поселения «Ясногорское», КУМИ, проверяемый период – 2021 год.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результате контрольного мероприятия установлены нарушения  и недостатки  на общую сумму 24 100,5 тыс. рублей.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1) Нарушение принципа эффективности, установленного статьей 34 Бюджетного кодекса Российской Федерации, допущено неиспользование бюджетных средств на общую сумму 8 195,2 тыс. рублей: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Плана ЦЭР в 2022 году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>произведен ремонт 5 участков улично-дорожной сети на территории 3 поселений муниципального района  «Оловяннинский район»  общей протяженностью 2,376 км. (ГП «Калангуйское», ГП «Ясногорское», СП «Яснинское»),  произведено восстановление  уличного освещения на территории 1 городского поселения,  общей протяженностью     2,330 км. (ГП «Оловяннинское»).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Общая протяженность  участков автомобильных дорог местного значения, на которых не выполнены ремонтные работы составила 1,2 км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не выполнены работы по ремонту дорожной одежды автодороги ул. Московская  и примыкающих к ней участков (всего 12 участков) в ГП «Оловяннинское»,  объем неосвоенных бюджетных средств составил 8 195,2  тыс. рублей. 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Неосвоение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средств,  при наличии потребности в их использовании в полной мере не обеспечивает выполнение  принципа эффективности использования   бюджетных  средств, установленного статьей 34 БК РФ. На неэффективное использование бюджетных средств,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 и на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недостижение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запланированного результата,  оказали  влияние два фактора,  это недобросовестность подрядчиков  и сложившиеся недостатки в принятии  Администрацией ГП «Оловяннинское» управленческих решений в ходе исполнения муниципальных контрактов: подрядчики к выполнению работ по условиям трех заключенных муниципальных контрактов не приступили; Администрацией ГП «Оловяннинское» не осуществлялся должным образом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исполнением заключенных муниципальных контрактов,  решения о расторжении контрактов приняты  за пределами  установленных сроков  выполнения работ, что  не позволило проводить дальнейший отбор подрядных организаций  с целью проведения запланированных ремонтных работ.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2) Нарушение при управлении и распоряжении муниципальным имуществом  на общую сумму 2 173,2  тыс. рублей,  в том числе Администрацией ГП «Оловяннинское»  объект ремонта сети уличного освещения  (протяженностью 2,330  км.) не принят к учету в состав муниципального имущества.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3) Проверкой исполнения муниципальных  контрактов, заключённых в рамках реализации  мероприятий  Плана ЦЭР, установлено 44 случаев нарушения законодательства РФ о контрактной системе в сфере закупок, общая сумма нарушений составила 483,4  тыс. рублей. Наибольшее количество  нарушений установлено при проведении контрольного мероприятия в ГП «Оловяннинское»  (34 случая на сумму   319,9  тыс. рублей).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Основные нарушения:</w:t>
      </w:r>
    </w:p>
    <w:p w:rsidR="00235D1A" w:rsidRPr="00235D1A" w:rsidRDefault="00737379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86.3pt;margin-top:27.05pt;width:27.75pt;height:20.25pt;z-index:251662336" strokecolor="white [3212]">
            <v:textbox style="mso-next-textbox:#_x0000_s1030">
              <w:txbxContent>
                <w:p w:rsidR="00F64C36" w:rsidRPr="00F64C36" w:rsidRDefault="00F64C36" w:rsidP="00F64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Times New Roman" w:hAnsi="Times New Roman" w:cs="Times New Roman"/>
          <w:sz w:val="24"/>
          <w:szCs w:val="24"/>
        </w:rPr>
        <w:t>-  при обосновании и определении начальной (максимальной) цены контракта (договора) (2 сл. на сумму 15,6 тыс. рублей);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lastRenderedPageBreak/>
        <w:t>- нарушения условий исполнения контрактов (договоров), в том числе сроков исполнения (7 сл. на сумму 332,8  тыс. рублей);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неприменение мер ответственности по контракту (договору) (4 сл. на сумму 135,0 тыс. рублей);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- непредставление, несвоевременное представление информации (сведений) и (или) документов, подлежащих включению в реестр контрактов (8 случаев);</w:t>
      </w:r>
      <w:proofErr w:type="gramEnd"/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невключение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в контракт (договор) обязательных условий и несоответствие его  требованиям, предусмотренным документацией (извещением) о закупке (9 случаев);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нарушения порядка расторжения контракта (договора) (3 случая);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и другие.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В большинстве случаев  нарушения содержат признаки административных правонарушений, предусмотренных частью 1 статьи 7.29.1, статьей 7.31, частью 4 статьи 7.32  КоАП РФ.  В уполномоченный орган в сфере закупок информация Контрольно-счетной палатой не направлялась,  так как срок давности привлечения к административной ответственности на момент проведения проверки истек.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4. Краткие итоги контрольного мероприятия «Проверка полноты исполнения представления Контрольно-счетной платы муниципального района «Оловяннинский район» от  23.03.2021 №3» направленного Администрации сельского поселения «Степнинское».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итогам проведенного контрольного мероприятия установлено, что  Администрацией поселения в полном объеме не исполнено требование пункта 1.4.  Представления № 3 от 23.03.2021 года – не приняты достаточные меры по обеспечению со стороны  Подрядчика  установки на территории сквера Победы   2 лавочек со спинкой, 4 цементных ваз, 2 металлических урн,  работы по которым были оплачены,  но фактически не были выполнены.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в соответствии с положениями статьи 17 Положения о КСП для принятия мер по устранению выявленных нарушений главе сельского поселения «Степнинское» направлено  предписание.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предписания КСП Администрацией  поселения в Арбитражный суд Забайкальского края направлено исковое заявление  об </w:t>
      </w:r>
      <w:proofErr w:type="spellStart"/>
      <w:r w:rsidRPr="00235D1A">
        <w:rPr>
          <w:rFonts w:ascii="Times New Roman" w:eastAsia="Times New Roman" w:hAnsi="Times New Roman" w:cs="Times New Roman"/>
          <w:sz w:val="24"/>
          <w:szCs w:val="24"/>
        </w:rPr>
        <w:t>обязании</w:t>
      </w:r>
      <w:proofErr w:type="spell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Подрядчика устранить в рамках гарантийных обязательств выявленные нарушения, а именно: установить  цементные цветочные вазы в количестве 4 шт.,  металлические урны в количестве 2 шт.,  скамейки со спинкой в количестве 2 шт. Определением Арбитражный суд  от 17.01.2023 года  исковое заявление Администрации поселения принято, возбуждено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 по     делу (дело будет рассмотрено без проведения судебного заседания в двухмесячный срок).</w:t>
      </w:r>
    </w:p>
    <w:p w:rsidR="00235D1A" w:rsidRPr="00235D1A" w:rsidRDefault="00235D1A" w:rsidP="00235D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Краткие итоги экспертно-аналитического мероприятия «Внешняя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 </w:t>
      </w:r>
      <w:r w:rsidRPr="00235D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2021 год».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При проведении экспертно-аналитического мероприятия проверено 20 годовых отчетов об исполнении бюджетов, а также годовая бюджетная отчетность 25 главных администраторов бюджетных средств (ГРБС),  из которых 19 одновременно являлись органом организующим исполнение бюджета.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По результатам внешней проверки установлено,  что показатели отчетов соответствуют показателям исполнения бюджетов за 2021 год.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5D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Проверкой установлены нарушения и недостатки при осуществлении ГАБС бюджетных полномочий, ведении бюджетного учета и составлении отчетности. </w:t>
      </w:r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результате проверок на объектах контроля в общей сложности  установлено нарушений и недостатков на общую сумму 140 804,9  тыс. руб.,  количество нарушений составило 194 случая  (в 2020 году объем нарушений составлял 63 078,2  тыс. руб.,  количество случаев – 143).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Основные нарушения и недостатками  по видам нарушений: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формировании и исполнении бюджета (</w:t>
      </w:r>
      <w:proofErr w:type="spellStart"/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ст.ст</w:t>
      </w:r>
      <w:proofErr w:type="spellEnd"/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34, 78.4., 158, 160.1., 179.4., БК РФ),  в объеме 23 920,6  тыс. рублей и  71 случай  (бюджет района – 15 / 10 088,7 тыс. рублей, бюджеты поселений – 56 / 13 831,9 тыс. рублей);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ходе ведения бухгалтерского учета,  составления и предоставления  бухгалтерской (финансовой) отчетности  (191н, 157н, 162н, 174н,  Стандарты), в объеме  97 670,5  тыс. руб. и 119 случаев (бюджет района – 3 / 19 213,8 тыс. рублей, бюджеты поселений – 1 / 13 831,9 тыс. рублей);</w:t>
      </w:r>
      <w:proofErr w:type="gramEnd"/>
    </w:p>
    <w:p w:rsidR="00235D1A" w:rsidRPr="00235D1A" w:rsidRDefault="00737379" w:rsidP="00235D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>
          <v:rect id="_x0000_s1032" style="position:absolute;left:0;text-align:left;margin-left:480.3pt;margin-top:38.3pt;width:27.75pt;height:20.25pt;z-index:251664384" strokecolor="white [3212]">
            <v:textbox style="mso-next-textbox:#_x0000_s1032">
              <w:txbxContent>
                <w:p w:rsidR="00737379" w:rsidRPr="00F64C36" w:rsidRDefault="00737379" w:rsidP="007373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</v:rect>
        </w:pict>
      </w:r>
      <w:r w:rsidR="00235D1A"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нарушениями в сфере управления и распоряжения муниципальной собственности в общей сумме 19 213,8 тыс. рублей  и 4 случая  (бюджет района – 23 / 9 594,6 тыс. рублей, бюджеты поселений – 96 / 88 075,9  тыс. рублей). 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По результатам  внешней проверки сформированы предложения в адрес проверенных объектов. Отчеты об исполнении бюджетов утверждены решениями представительных органов  с учетом рекомендаций КСП. Выявленные нарушения,  подлежащие устранению,  в 2022 году устранены в полном объеме. </w:t>
      </w:r>
    </w:p>
    <w:p w:rsidR="00235D1A" w:rsidRPr="00235D1A" w:rsidRDefault="00235D1A" w:rsidP="00235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5D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порядке принятия мер реагирования  в адрес МКУ «Централизованная бухгалтерия поселений»  направлена обобщенная информация о нарушениях и недостатках, установленных в рамках проведения внешней проверки годовых отчетов об исполнении бюджетов поселений.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Краткие итоги экспертно-аналитического мероприятия «Экспертиза проекта бюджета района на трехлетний период,  проектов бюджетов поселений на очередной финансовый год».  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экспертизы проекта бюджета района на трехлетний период,  проектов бюджетов поселений</w:t>
      </w:r>
      <w:r w:rsidR="00B277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5D1A">
        <w:rPr>
          <w:rFonts w:ascii="Times New Roman" w:eastAsia="Times New Roman" w:hAnsi="Times New Roman" w:cs="Times New Roman"/>
          <w:b/>
          <w:i/>
          <w:sz w:val="24"/>
          <w:szCs w:val="24"/>
        </w:rPr>
        <w:t>на очередной финансовый год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 Контрольно-счетной палатой подготовлено 19 заключений,  в которых отражены отдельные замечания и даны предложения.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1) В заключении,  подготовленном Контрольно-счетной палатой на проект бюджета района  на 2023 год и плановый период 2024 и 2025 годов, было отмечено,  что   Проект  решения о бюджете района внесен на рассмотрение представительного органа в установленный срок. Состав показателей, представленных для рассмотрения и утверждения, соответствует требованиям бюджетного законодательства.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доходной части бюджета на 2023 год сделан вывод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имеющемся резерве поступлений,  по оценке Контрольно-счетной палаты он составляет в пределах 1400-1600 тыс. рублей, в том числе: по налогу, взимаемому в связи с применением упрощенной системы налогообложения – 700,0  тыс. рублей; налогам, сборам и регулярным платежам за пользование природными ресурсами – 100,0 тыс. рублей; </w:t>
      </w:r>
      <w:r w:rsidRPr="00235D1A">
        <w:rPr>
          <w:rFonts w:ascii="Times New Roman" w:eastAsia="Times New Roman" w:hAnsi="Times New Roman" w:cs="Times New Roman"/>
          <w:bCs/>
          <w:sz w:val="24"/>
          <w:szCs w:val="24"/>
        </w:rPr>
        <w:t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- 600,0-800,0  тыс. рублей.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При анализе р</w:t>
      </w:r>
      <w:r w:rsidR="0044380F">
        <w:rPr>
          <w:rFonts w:ascii="Times New Roman" w:eastAsia="Times New Roman" w:hAnsi="Times New Roman" w:cs="Times New Roman"/>
          <w:sz w:val="24"/>
          <w:szCs w:val="24"/>
        </w:rPr>
        <w:t xml:space="preserve">асходной части проекта бюджета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4380F">
        <w:rPr>
          <w:rFonts w:ascii="Times New Roman" w:eastAsia="Times New Roman" w:hAnsi="Times New Roman" w:cs="Times New Roman"/>
          <w:sz w:val="24"/>
          <w:szCs w:val="24"/>
        </w:rPr>
        <w:t xml:space="preserve"> 2023 год,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было установлено, что ассигнования на отдельные статьи расходов запланированы в объемах, меньших их расчетной потребности  (первоочередные расходы на оплату труда работников бюджетной сферы и расходы на оплату коммунальных услуг)</w:t>
      </w:r>
      <w:r w:rsidR="004438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что в основном обусловлено ограниченностью финансовых возможностей. </w:t>
      </w:r>
      <w:proofErr w:type="gramStart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Кроме того,  в заключении отмечено,  что на необеспеченность первоочередных расходов оказало наличие в  проекте закона о краевом бюджете на 2023 год и плановый период 2024 и 2025 годов наличие не распределенного между муниципальными образования объема дотаций, указанное позволило сделать вывод,  что </w:t>
      </w:r>
      <w:r w:rsidRPr="00235D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5D1A">
        <w:rPr>
          <w:rFonts w:ascii="Times New Roman" w:eastAsia="Times New Roman" w:hAnsi="Times New Roman" w:cs="Times New Roman"/>
          <w:sz w:val="24"/>
          <w:szCs w:val="24"/>
        </w:rPr>
        <w:t>рассматриваемый проект бюджета, не окончательная версия, в бюджет будут вноситься изменения.</w:t>
      </w:r>
      <w:proofErr w:type="gramEnd"/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– по предоставляемым из краевого  бюджета межбюджетным трансфертам.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2) Итоги экспертно-аналитических мероприятий, проведенных в рамках экспертизы проектов бюджетов поселений на 2023 год, доведены с рекомендациями до соответствующих представительных органов, а также до главы поселений.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Основными недостатками, указанными в заключениях, являлись: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неполный перечень документов и материалов, необходимый для представления в представительный орган поселений одновременно с проектом бюджета;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недостаточное обоснование отдельных планируемых показателей;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несоблюдение требований к применению бюджетной классификации Российской Федерации;</w:t>
      </w:r>
    </w:p>
    <w:p w:rsidR="00235D1A" w:rsidRPr="00235D1A" w:rsidRDefault="00235D1A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- несвоевременное внесение изменений в действующие нормативные правовые акты, регулирующие расходные обязательства по оплате труда  работников органа местного самоуправления поселения, в результате чего, в отдельных случаях размеры окладов по должностям муниципальной службы и размеры окладов обслуживающего персонала, устанавливаемые штатным расписанием, нормативно не обоснованы.</w:t>
      </w:r>
    </w:p>
    <w:p w:rsidR="00235D1A" w:rsidRPr="00235D1A" w:rsidRDefault="00235D1A" w:rsidP="00235D1A">
      <w:pPr>
        <w:tabs>
          <w:tab w:val="left" w:pos="9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 xml:space="preserve">         Всего по результатам экспертизы  проектов бюджетов поселений в исполнительные органы местного самоуправления Контрольно-счетной палатой было внесено 24 замечания и 17 предложений по их устранению.</w:t>
      </w:r>
    </w:p>
    <w:p w:rsidR="00235D1A" w:rsidRPr="00235D1A" w:rsidRDefault="00235D1A" w:rsidP="00B277C4">
      <w:pPr>
        <w:tabs>
          <w:tab w:val="left" w:pos="98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i/>
          <w:sz w:val="24"/>
          <w:szCs w:val="24"/>
        </w:rPr>
        <w:t>Более подробная и детализированная информация об основных показателях деятельности Контрольно-счетной палаты за 2022 год приведена в приложении    № 1 к настоящему Отчету.</w:t>
      </w:r>
    </w:p>
    <w:p w:rsidR="00235D1A" w:rsidRPr="00235D1A" w:rsidRDefault="00235D1A" w:rsidP="00235D1A">
      <w:pPr>
        <w:tabs>
          <w:tab w:val="left" w:pos="9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1A" w:rsidRPr="00235D1A" w:rsidRDefault="00235D1A" w:rsidP="00235D1A">
      <w:pPr>
        <w:tabs>
          <w:tab w:val="left" w:pos="98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D1A">
        <w:rPr>
          <w:rFonts w:ascii="Times New Roman" w:eastAsia="Times New Roman" w:hAnsi="Times New Roman" w:cs="Times New Roman"/>
          <w:sz w:val="24"/>
          <w:szCs w:val="24"/>
        </w:rPr>
        <w:t>Председатель КСП                                                           Р.А. Куцых</w:t>
      </w:r>
    </w:p>
    <w:p w:rsidR="00235D1A" w:rsidRPr="00235D1A" w:rsidRDefault="00737379" w:rsidP="00235D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rect id="_x0000_s1033" style="position:absolute;left:0;text-align:left;margin-left:481.8pt;margin-top:4.7pt;width:27.75pt;height:20.25pt;z-index:251665408" strokecolor="white [3212]">
            <v:textbox style="mso-next-textbox:#_x0000_s1033">
              <w:txbxContent>
                <w:p w:rsidR="00737379" w:rsidRPr="00F64C36" w:rsidRDefault="00737379" w:rsidP="007373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rect>
        </w:pict>
      </w:r>
      <w:bookmarkEnd w:id="0"/>
    </w:p>
    <w:sectPr w:rsidR="00235D1A" w:rsidRPr="00235D1A" w:rsidSect="00737379">
      <w:pgSz w:w="11906" w:h="16838"/>
      <w:pgMar w:top="426" w:right="567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B5" w:rsidRDefault="00F74CB5" w:rsidP="008A738C">
      <w:pPr>
        <w:spacing w:after="0" w:line="240" w:lineRule="auto"/>
      </w:pPr>
      <w:r>
        <w:separator/>
      </w:r>
    </w:p>
  </w:endnote>
  <w:endnote w:type="continuationSeparator" w:id="0">
    <w:p w:rsidR="00F74CB5" w:rsidRDefault="00F74CB5" w:rsidP="008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209004"/>
      <w:docPartObj>
        <w:docPartGallery w:val="Page Numbers (Bottom of Page)"/>
        <w:docPartUnique/>
      </w:docPartObj>
    </w:sdtPr>
    <w:sdtContent>
      <w:p w:rsidR="0089504B" w:rsidRDefault="0089504B" w:rsidP="008950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63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B5" w:rsidRDefault="00F74CB5" w:rsidP="008A738C">
      <w:pPr>
        <w:spacing w:after="0" w:line="240" w:lineRule="auto"/>
      </w:pPr>
      <w:r>
        <w:separator/>
      </w:r>
    </w:p>
  </w:footnote>
  <w:footnote w:type="continuationSeparator" w:id="0">
    <w:p w:rsidR="00F74CB5" w:rsidRDefault="00F74CB5" w:rsidP="008A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D7D"/>
    <w:rsid w:val="00032048"/>
    <w:rsid w:val="00100B52"/>
    <w:rsid w:val="00194634"/>
    <w:rsid w:val="001E0134"/>
    <w:rsid w:val="00235D1A"/>
    <w:rsid w:val="00250779"/>
    <w:rsid w:val="0037284A"/>
    <w:rsid w:val="003B7AB8"/>
    <w:rsid w:val="0044380F"/>
    <w:rsid w:val="004649B4"/>
    <w:rsid w:val="004B5AC8"/>
    <w:rsid w:val="004B7A84"/>
    <w:rsid w:val="004F2D02"/>
    <w:rsid w:val="004F7CDE"/>
    <w:rsid w:val="0051457B"/>
    <w:rsid w:val="00543F82"/>
    <w:rsid w:val="00547A11"/>
    <w:rsid w:val="005A21F3"/>
    <w:rsid w:val="005A2F4F"/>
    <w:rsid w:val="005C6B5A"/>
    <w:rsid w:val="00650904"/>
    <w:rsid w:val="00654A3E"/>
    <w:rsid w:val="00660E10"/>
    <w:rsid w:val="00683DE3"/>
    <w:rsid w:val="006B0E45"/>
    <w:rsid w:val="00737379"/>
    <w:rsid w:val="00764692"/>
    <w:rsid w:val="0077057D"/>
    <w:rsid w:val="0077131E"/>
    <w:rsid w:val="007A39FF"/>
    <w:rsid w:val="007C279B"/>
    <w:rsid w:val="007D2120"/>
    <w:rsid w:val="00804B76"/>
    <w:rsid w:val="00861B55"/>
    <w:rsid w:val="0089504B"/>
    <w:rsid w:val="00896C54"/>
    <w:rsid w:val="008A738C"/>
    <w:rsid w:val="008C5931"/>
    <w:rsid w:val="008D3C8F"/>
    <w:rsid w:val="00954AF1"/>
    <w:rsid w:val="0099497E"/>
    <w:rsid w:val="00A96D2B"/>
    <w:rsid w:val="00B11114"/>
    <w:rsid w:val="00B277C4"/>
    <w:rsid w:val="00BB421D"/>
    <w:rsid w:val="00C005EA"/>
    <w:rsid w:val="00C1228C"/>
    <w:rsid w:val="00C215C4"/>
    <w:rsid w:val="00C2471F"/>
    <w:rsid w:val="00C357A0"/>
    <w:rsid w:val="00C521BB"/>
    <w:rsid w:val="00C52A9B"/>
    <w:rsid w:val="00C56E6C"/>
    <w:rsid w:val="00D820EA"/>
    <w:rsid w:val="00D87FAA"/>
    <w:rsid w:val="00D976E4"/>
    <w:rsid w:val="00E05A6A"/>
    <w:rsid w:val="00E10CAE"/>
    <w:rsid w:val="00EF0C04"/>
    <w:rsid w:val="00F15725"/>
    <w:rsid w:val="00F34511"/>
    <w:rsid w:val="00F64C36"/>
    <w:rsid w:val="00F652F7"/>
    <w:rsid w:val="00F74CB5"/>
    <w:rsid w:val="00F87136"/>
    <w:rsid w:val="00F93ED3"/>
    <w:rsid w:val="00F963D8"/>
    <w:rsid w:val="00FD0D7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5D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38C"/>
  </w:style>
  <w:style w:type="paragraph" w:styleId="a8">
    <w:name w:val="footer"/>
    <w:basedOn w:val="a"/>
    <w:link w:val="a9"/>
    <w:uiPriority w:val="99"/>
    <w:unhideWhenUsed/>
    <w:rsid w:val="008A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lovyan.7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MATRIX</cp:lastModifiedBy>
  <cp:revision>31</cp:revision>
  <cp:lastPrinted>2023-06-15T01:28:00Z</cp:lastPrinted>
  <dcterms:created xsi:type="dcterms:W3CDTF">2012-03-18T23:55:00Z</dcterms:created>
  <dcterms:modified xsi:type="dcterms:W3CDTF">2023-06-15T01:30:00Z</dcterms:modified>
</cp:coreProperties>
</file>