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620304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1755EB">
        <w:rPr>
          <w:color w:val="000000"/>
          <w:lang w:eastAsia="ru-RU" w:bidi="ru-RU"/>
        </w:rPr>
        <w:t>25</w:t>
      </w:r>
      <w:r>
        <w:rPr>
          <w:color w:val="000000"/>
          <w:lang w:eastAsia="ru-RU" w:bidi="ru-RU"/>
        </w:rPr>
        <w:t xml:space="preserve">» </w:t>
      </w:r>
      <w:r w:rsidR="001755EB">
        <w:rPr>
          <w:color w:val="000000"/>
          <w:lang w:eastAsia="ru-RU" w:bidi="ru-RU"/>
        </w:rPr>
        <w:t>сентября</w:t>
      </w:r>
      <w:r>
        <w:rPr>
          <w:color w:val="000000"/>
          <w:lang w:eastAsia="ru-RU" w:bidi="ru-RU"/>
        </w:rPr>
        <w:t xml:space="preserve"> 20</w:t>
      </w:r>
      <w:r w:rsidR="001755EB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</w:t>
      </w:r>
      <w:r w:rsidR="001755EB">
        <w:rPr>
          <w:color w:val="000000"/>
          <w:lang w:eastAsia="ru-RU" w:bidi="ru-RU"/>
        </w:rPr>
        <w:t>75</w:t>
      </w:r>
    </w:p>
    <w:p w:rsidR="00FB1C08" w:rsidRPr="002D20C1" w:rsidRDefault="00FB1C08" w:rsidP="00FB1C08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FB1C08" w:rsidRPr="002D20C1" w:rsidRDefault="00FB1C08" w:rsidP="00FB1C08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006EFC" w:rsidRDefault="00FB1C08" w:rsidP="00FB1C08">
      <w:pPr>
        <w:pStyle w:val="20"/>
        <w:shd w:val="clear" w:color="auto" w:fill="auto"/>
        <w:ind w:right="40"/>
        <w:jc w:val="right"/>
      </w:pPr>
      <w:r w:rsidRPr="002D20C1">
        <w:t xml:space="preserve">от « </w:t>
      </w:r>
      <w:r w:rsidR="00C77C2F">
        <w:t>25</w:t>
      </w:r>
      <w:r w:rsidRPr="002D20C1">
        <w:t xml:space="preserve">» </w:t>
      </w:r>
      <w:r w:rsidR="00C77C2F">
        <w:t xml:space="preserve">декабря </w:t>
      </w:r>
      <w:r w:rsidRPr="002D20C1">
        <w:t>20</w:t>
      </w:r>
      <w:r w:rsidR="00C77C2F">
        <w:t>20</w:t>
      </w:r>
      <w:r w:rsidRPr="002D20C1">
        <w:t xml:space="preserve"> г. № </w:t>
      </w:r>
      <w:r w:rsidR="00C77C2F">
        <w:t>200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2C2CA8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C40FE0" w:rsidRDefault="00C40FE0" w:rsidP="00C40FE0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39483A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C77C2F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1755EB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2C2CA8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r w:rsidR="002C2CA8">
        <w:rPr>
          <w:color w:val="000000"/>
          <w:lang w:eastAsia="ru-RU" w:bidi="ru-RU"/>
        </w:rPr>
        <w:t>Реутовой Светланы Николаевны</w:t>
      </w:r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FB1C08">
        <w:rPr>
          <w:color w:val="000000"/>
          <w:lang w:eastAsia="ru-RU" w:bidi="ru-RU"/>
        </w:rPr>
        <w:t>2</w:t>
      </w:r>
      <w:r w:rsidR="00B54C9C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FB1C08">
        <w:rPr>
          <w:color w:val="000000"/>
          <w:lang w:eastAsia="ru-RU" w:bidi="ru-RU"/>
        </w:rPr>
        <w:t>2</w:t>
      </w:r>
      <w:r w:rsidR="00B54C9C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FB1C08">
        <w:rPr>
          <w:color w:val="000000"/>
          <w:lang w:eastAsia="ru-RU" w:bidi="ru-RU"/>
        </w:rPr>
        <w:t>2</w:t>
      </w:r>
      <w:r w:rsidR="00B54C9C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2C2CA8"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2C2CA8"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2C2CA8">
              <w:rPr>
                <w:color w:val="000000"/>
                <w:sz w:val="25"/>
                <w:szCs w:val="25"/>
                <w:lang w:eastAsia="ru-RU" w:bidi="ru-RU"/>
              </w:rPr>
              <w:t>89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60</w:t>
            </w:r>
            <w:r w:rsidR="002C2CA8">
              <w:rPr>
                <w:color w:val="000000"/>
                <w:sz w:val="25"/>
                <w:szCs w:val="25"/>
                <w:lang w:eastAsia="ru-RU" w:bidi="ru-RU"/>
              </w:rPr>
              <w:t>20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19</w:t>
            </w:r>
            <w:r w:rsidR="002C2CA8">
              <w:rPr>
                <w:color w:val="000000"/>
                <w:sz w:val="25"/>
                <w:szCs w:val="25"/>
                <w:lang w:eastAsia="ru-RU" w:bidi="ru-RU"/>
              </w:rPr>
              <w:t>870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2C2CA8">
              <w:rPr>
                <w:sz w:val="25"/>
                <w:szCs w:val="25"/>
              </w:rPr>
              <w:t>60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C77C2F">
              <w:rPr>
                <w:color w:val="000000"/>
                <w:sz w:val="25"/>
                <w:szCs w:val="25"/>
                <w:lang w:eastAsia="ru-RU" w:bidi="ru-RU"/>
              </w:rPr>
              <w:t>03231643766324609100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2C2CA8"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454AA" w:rsidRDefault="001454AA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2C2C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2C2CA8">
              <w:rPr>
                <w:rFonts w:ascii="Times New Roman" w:hAnsi="Times New Roman" w:cs="Times New Roman"/>
                <w:sz w:val="25"/>
                <w:szCs w:val="25"/>
              </w:rPr>
              <w:t>С.Н. Реутова</w:t>
            </w:r>
          </w:p>
        </w:tc>
        <w:tc>
          <w:tcPr>
            <w:tcW w:w="4928" w:type="dxa"/>
          </w:tcPr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FB1C08" w:rsidRPr="002D20C1" w:rsidRDefault="00FB1C08" w:rsidP="00FB1C0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FB1C08" w:rsidRPr="00105B23" w:rsidRDefault="00FB1C08">
            <w:pPr>
              <w:rPr>
                <w:sz w:val="25"/>
                <w:szCs w:val="25"/>
              </w:rPr>
            </w:pPr>
          </w:p>
          <w:p w:rsidR="00FB1C08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1454AA" w:rsidRPr="00105B23" w:rsidRDefault="001454A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FB1C08">
        <w:rPr>
          <w:color w:val="000000"/>
          <w:lang w:eastAsia="ru-RU" w:bidi="ru-RU"/>
        </w:rPr>
        <w:t>2</w:t>
      </w:r>
      <w:r w:rsidR="00B54C9C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FB1C08">
        <w:rPr>
          <w:color w:val="000000"/>
          <w:lang w:eastAsia="ru-RU" w:bidi="ru-RU"/>
        </w:rPr>
        <w:t>2</w:t>
      </w:r>
      <w:r w:rsidR="00B54C9C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1454AA"/>
    <w:rsid w:val="00170D58"/>
    <w:rsid w:val="001755EB"/>
    <w:rsid w:val="002C2CA8"/>
    <w:rsid w:val="00317542"/>
    <w:rsid w:val="00330BD0"/>
    <w:rsid w:val="00380EA5"/>
    <w:rsid w:val="0039483A"/>
    <w:rsid w:val="00573330"/>
    <w:rsid w:val="005A08E5"/>
    <w:rsid w:val="00620304"/>
    <w:rsid w:val="006E23BD"/>
    <w:rsid w:val="00734C19"/>
    <w:rsid w:val="007E7568"/>
    <w:rsid w:val="008037D6"/>
    <w:rsid w:val="00851FE1"/>
    <w:rsid w:val="00933983"/>
    <w:rsid w:val="00965701"/>
    <w:rsid w:val="009743C1"/>
    <w:rsid w:val="009B7715"/>
    <w:rsid w:val="00B54C9C"/>
    <w:rsid w:val="00B87D7B"/>
    <w:rsid w:val="00B92C7F"/>
    <w:rsid w:val="00BE7B59"/>
    <w:rsid w:val="00C40FE0"/>
    <w:rsid w:val="00C77C2F"/>
    <w:rsid w:val="00D466FA"/>
    <w:rsid w:val="00EC7BAF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33</cp:revision>
  <cp:lastPrinted>2021-01-14T07:33:00Z</cp:lastPrinted>
  <dcterms:created xsi:type="dcterms:W3CDTF">2018-06-21T23:53:00Z</dcterms:created>
  <dcterms:modified xsi:type="dcterms:W3CDTF">2021-03-26T01:18:00Z</dcterms:modified>
</cp:coreProperties>
</file>