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Улан-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Цацыкское</w:t>
      </w:r>
      <w:proofErr w:type="spellEnd"/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F9294E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2019 года № </w:t>
      </w:r>
      <w:r w:rsidR="00F9294E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0056AD" w:rsidRDefault="000056AD" w:rsidP="000056AD">
      <w:pPr>
        <w:jc w:val="right"/>
        <w:rPr>
          <w:rFonts w:ascii="Times New Roman" w:hAnsi="Times New Roman" w:cs="Times New Roman"/>
          <w:sz w:val="28"/>
          <w:szCs w:val="28"/>
        </w:rPr>
      </w:pPr>
      <w:r w:rsidRPr="008F2AA7">
        <w:rPr>
          <w:rFonts w:ascii="Times New Roman" w:hAnsi="Times New Roman" w:cs="Times New Roman"/>
          <w:sz w:val="28"/>
          <w:szCs w:val="28"/>
        </w:rPr>
        <w:t>от «</w:t>
      </w:r>
      <w:r w:rsidR="00D87A1A">
        <w:rPr>
          <w:rFonts w:ascii="Times New Roman" w:hAnsi="Times New Roman" w:cs="Times New Roman"/>
          <w:sz w:val="28"/>
          <w:szCs w:val="28"/>
        </w:rPr>
        <w:t>25</w:t>
      </w:r>
      <w:r w:rsidRPr="008F2AA7">
        <w:rPr>
          <w:rFonts w:ascii="Times New Roman" w:hAnsi="Times New Roman" w:cs="Times New Roman"/>
          <w:sz w:val="28"/>
          <w:szCs w:val="28"/>
        </w:rPr>
        <w:t xml:space="preserve">» </w:t>
      </w:r>
      <w:r w:rsidR="00D87A1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2AA7">
        <w:rPr>
          <w:rFonts w:ascii="Times New Roman" w:hAnsi="Times New Roman" w:cs="Times New Roman"/>
          <w:sz w:val="28"/>
          <w:szCs w:val="28"/>
        </w:rPr>
        <w:t xml:space="preserve"> 20</w:t>
      </w:r>
      <w:r w:rsidR="00D87A1A">
        <w:rPr>
          <w:rFonts w:ascii="Times New Roman" w:hAnsi="Times New Roman" w:cs="Times New Roman"/>
          <w:sz w:val="28"/>
          <w:szCs w:val="28"/>
        </w:rPr>
        <w:t>20</w:t>
      </w:r>
      <w:r w:rsidRPr="008F2AA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D87A1A">
        <w:rPr>
          <w:rFonts w:ascii="Times New Roman" w:hAnsi="Times New Roman" w:cs="Times New Roman"/>
          <w:sz w:val="28"/>
          <w:szCs w:val="28"/>
        </w:rPr>
        <w:t>99</w:t>
      </w:r>
    </w:p>
    <w:p w:rsidR="000056AD" w:rsidRDefault="000056AD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056AD" w:rsidRDefault="000056AD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00144F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46498D">
        <w:rPr>
          <w:rStyle w:val="2"/>
          <w:rFonts w:eastAsia="Arial Unicode MS"/>
          <w:sz w:val="28"/>
          <w:szCs w:val="28"/>
          <w:u w:val="none"/>
        </w:rPr>
        <w:t xml:space="preserve">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F9294E">
        <w:rPr>
          <w:rStyle w:val="2"/>
          <w:rFonts w:eastAsia="Arial Unicode MS"/>
          <w:sz w:val="28"/>
          <w:szCs w:val="28"/>
          <w:u w:val="none"/>
        </w:rPr>
        <w:t>20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60732D">
        <w:rPr>
          <w:rStyle w:val="3"/>
          <w:sz w:val="28"/>
          <w:szCs w:val="28"/>
          <w:u w:val="none"/>
        </w:rPr>
        <w:t>Цыренжапова</w:t>
      </w:r>
      <w:proofErr w:type="spellEnd"/>
      <w:r w:rsidR="0060732D">
        <w:rPr>
          <w:rStyle w:val="3"/>
          <w:sz w:val="28"/>
          <w:szCs w:val="28"/>
          <w:u w:val="none"/>
        </w:rPr>
        <w:t xml:space="preserve"> Сергея </w:t>
      </w:r>
      <w:proofErr w:type="spellStart"/>
      <w:r w:rsidR="0060732D">
        <w:rPr>
          <w:rStyle w:val="3"/>
          <w:sz w:val="28"/>
          <w:szCs w:val="28"/>
          <w:u w:val="none"/>
        </w:rPr>
        <w:t>Жамбалдоржиевича</w:t>
      </w:r>
      <w:proofErr w:type="spellEnd"/>
      <w:r w:rsidRPr="00DA1D95">
        <w:rPr>
          <w:sz w:val="28"/>
          <w:szCs w:val="28"/>
        </w:rPr>
        <w:t>, действующе</w:t>
      </w:r>
      <w:r w:rsidR="00EC0C64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DA6EED">
        <w:rPr>
          <w:color w:val="000000" w:themeColor="text1"/>
          <w:sz w:val="28"/>
          <w:szCs w:val="28"/>
        </w:rPr>
        <w:t>2</w:t>
      </w:r>
      <w:r w:rsidR="00F9294E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B542AF">
        <w:rPr>
          <w:color w:val="000000" w:themeColor="text1"/>
          <w:sz w:val="28"/>
          <w:szCs w:val="28"/>
        </w:rPr>
        <w:t xml:space="preserve">составляет  </w:t>
      </w:r>
      <w:r w:rsidR="00F73D47">
        <w:rPr>
          <w:color w:val="000000" w:themeColor="text1"/>
          <w:sz w:val="28"/>
          <w:szCs w:val="28"/>
        </w:rPr>
        <w:t>1000</w:t>
      </w:r>
      <w:r w:rsidR="00B542AF" w:rsidRPr="00C7025F">
        <w:rPr>
          <w:color w:val="000000" w:themeColor="text1"/>
          <w:sz w:val="28"/>
          <w:szCs w:val="28"/>
        </w:rPr>
        <w:t xml:space="preserve"> (</w:t>
      </w:r>
      <w:r w:rsidR="00F73D47">
        <w:rPr>
          <w:color w:val="000000" w:themeColor="text1"/>
          <w:sz w:val="28"/>
          <w:szCs w:val="28"/>
        </w:rPr>
        <w:t>дна</w:t>
      </w:r>
      <w:r w:rsidR="00B542AF" w:rsidRPr="00C7025F">
        <w:rPr>
          <w:color w:val="000000" w:themeColor="text1"/>
          <w:sz w:val="28"/>
          <w:szCs w:val="28"/>
        </w:rPr>
        <w:t xml:space="preserve"> тысяч</w:t>
      </w:r>
      <w:r w:rsidR="00F73D47">
        <w:rPr>
          <w:color w:val="000000" w:themeColor="text1"/>
          <w:sz w:val="28"/>
          <w:szCs w:val="28"/>
        </w:rPr>
        <w:t>а</w:t>
      </w:r>
      <w:r w:rsidR="00B542AF" w:rsidRPr="00C7025F">
        <w:rPr>
          <w:color w:val="000000" w:themeColor="text1"/>
          <w:sz w:val="28"/>
          <w:szCs w:val="28"/>
        </w:rPr>
        <w:t>)</w:t>
      </w:r>
      <w:r w:rsidRPr="00C7025F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DA6EED">
        <w:rPr>
          <w:sz w:val="28"/>
          <w:szCs w:val="28"/>
        </w:rPr>
        <w:t>2</w:t>
      </w:r>
      <w:r w:rsidR="00F9294E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DA6EED">
        <w:rPr>
          <w:sz w:val="28"/>
          <w:szCs w:val="28"/>
        </w:rPr>
        <w:t>2</w:t>
      </w:r>
      <w:r w:rsidR="00F9294E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ОК</w:t>
                              </w:r>
                              <w:proofErr w:type="gram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18 Администрация СП 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840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 – 751500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6013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19869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2453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. счет – </w:t>
                              </w:r>
                              <w:r w:rsidR="00E97A3D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03231643766324539100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C7025F" w:rsidRDefault="00C7025F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С.Ж.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Цыренжапов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Администрация Муниципального района «</w:t>
                              </w:r>
                              <w:proofErr w:type="spellStart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район», 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ОК</w:t>
                              </w:r>
                              <w:proofErr w:type="gramEnd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18 Администрация МР «</w:t>
                              </w:r>
                              <w:proofErr w:type="spellStart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район»),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Л.с</w:t>
                              </w:r>
                              <w:proofErr w:type="spellEnd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- 03913204540, ИНН- 7515002604,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60732D" w:rsidRPr="00DA6EED" w:rsidRDefault="00DA6EED" w:rsidP="00DA6EE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DA6EED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Расч</w:t>
                              </w:r>
                              <w:proofErr w:type="gramStart"/>
                              <w:r w:rsidRPr="00DA6EED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.с</w:t>
                              </w:r>
                              <w:proofErr w:type="gramEnd"/>
                              <w:r w:rsidRPr="00DA6EED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чет</w:t>
                              </w:r>
                              <w:proofErr w:type="spellEnd"/>
                              <w:r w:rsidRPr="00DA6EED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 xml:space="preserve"> - 40204810350040020196</w:t>
                              </w:r>
                            </w:p>
                            <w:p w:rsidR="00DA6EED" w:rsidRPr="00105B23" w:rsidRDefault="00DA6EE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60732D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</w:t>
                              </w:r>
                              <w:proofErr w:type="spellStart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Оловяннинский</w:t>
                              </w:r>
                              <w:proofErr w:type="spellEnd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район»</w:t>
                              </w:r>
                            </w:p>
                            <w:p w:rsidR="00C7025F" w:rsidRPr="00105B23" w:rsidRDefault="00C7025F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0144F"/>
    <w:rsid w:val="000056AD"/>
    <w:rsid w:val="000774DE"/>
    <w:rsid w:val="000A0982"/>
    <w:rsid w:val="000C1814"/>
    <w:rsid w:val="000E7BCB"/>
    <w:rsid w:val="0046498D"/>
    <w:rsid w:val="0060732D"/>
    <w:rsid w:val="00847C5F"/>
    <w:rsid w:val="00924290"/>
    <w:rsid w:val="00B542AF"/>
    <w:rsid w:val="00B77279"/>
    <w:rsid w:val="00C40404"/>
    <w:rsid w:val="00C7025F"/>
    <w:rsid w:val="00D87A1A"/>
    <w:rsid w:val="00DA1D95"/>
    <w:rsid w:val="00DA6EED"/>
    <w:rsid w:val="00E97A3D"/>
    <w:rsid w:val="00EC0C64"/>
    <w:rsid w:val="00EC1A54"/>
    <w:rsid w:val="00F012B2"/>
    <w:rsid w:val="00F11AF7"/>
    <w:rsid w:val="00F16AF6"/>
    <w:rsid w:val="00F73D47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28</cp:revision>
  <cp:lastPrinted>2019-12-18T05:12:00Z</cp:lastPrinted>
  <dcterms:created xsi:type="dcterms:W3CDTF">2019-01-10T01:48:00Z</dcterms:created>
  <dcterms:modified xsi:type="dcterms:W3CDTF">2021-03-26T01:26:00Z</dcterms:modified>
</cp:coreProperties>
</file>