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F" w:rsidRDefault="003B636F" w:rsidP="003B636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Итоги</w:t>
      </w:r>
      <w:r w:rsidRPr="008518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внешней проверки б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юджетной отчетности</w:t>
      </w:r>
      <w:r w:rsidR="003826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главных администраторов бюджетных средств </w:t>
      </w:r>
      <w:proofErr w:type="gramStart"/>
      <w:r w:rsidR="003826DE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ГАБС</w:t>
      </w:r>
      <w:r w:rsidR="003826DE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2020</w:t>
      </w:r>
      <w:r w:rsidRPr="008518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</w:t>
      </w:r>
      <w:r w:rsidRPr="00E62422">
        <w:rPr>
          <w:rFonts w:ascii="Times New Roman" w:hAnsi="Times New Roman"/>
          <w:sz w:val="28"/>
          <w:szCs w:val="28"/>
        </w:rPr>
        <w:t xml:space="preserve"> ст. 36 Положения о бю</w:t>
      </w:r>
      <w:r>
        <w:rPr>
          <w:rFonts w:ascii="Times New Roman" w:hAnsi="Times New Roman"/>
          <w:sz w:val="28"/>
          <w:szCs w:val="28"/>
        </w:rPr>
        <w:t xml:space="preserve">джетном процессе </w:t>
      </w:r>
      <w:r w:rsidRPr="00E62422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БС</w:t>
      </w:r>
      <w:r w:rsidRPr="00E62422">
        <w:rPr>
          <w:rFonts w:ascii="Times New Roman" w:hAnsi="Times New Roman"/>
          <w:sz w:val="28"/>
          <w:szCs w:val="28"/>
        </w:rPr>
        <w:t xml:space="preserve"> не позднее 01 марта текущего финансового года представляют годовую бюджетную отчетность в КСП для внешней проверки. Срок представления отчетности для проведения внешней проверки соблюден всеми ГАБС. 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Перечень главных распорядителей средств бюджета района в ведомственной структуре расходов  утвержден решением Совета муниципального района от 18.12.2019 № 160 «О бюджете района на 2020 год и на плановый период 2021 и 2022 годов», в том числе по кодам главных распорядителей: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Администрация муниципального района «Оловяннинский район» 901;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Комитет по финансам администрации муниципального района «Оловяннинский район» 902;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  муниципального района «Оловяннинский район» 917;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Районный комитет по образованию и делам молодежи администрации муниципального района «Оловяннинский район» 926;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Контрольно-счетная палата муниципального района «Оловяннинский район» - 934;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Совет муниципального района «Оловяннинский район» - 963.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Годовая бюдж</w:t>
      </w:r>
      <w:r>
        <w:rPr>
          <w:rFonts w:ascii="Times New Roman" w:hAnsi="Times New Roman"/>
          <w:sz w:val="28"/>
          <w:szCs w:val="28"/>
        </w:rPr>
        <w:t>етная отчетность проверена у шести</w:t>
      </w:r>
      <w:r w:rsidRPr="00E62422">
        <w:rPr>
          <w:rFonts w:ascii="Times New Roman" w:hAnsi="Times New Roman"/>
          <w:sz w:val="28"/>
          <w:szCs w:val="28"/>
        </w:rPr>
        <w:t xml:space="preserve"> ГАБС на предмет: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- соответствия форм отчетности требованиям бюджетного законодательства; 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- соответствия плановых показателей, указанных в отчетности, показателям утвержденных бюджетных ассигнований с учетом изменений, внесенных в ходе исполнения местного бюджета; 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- внутренней согласованности соответствующих форм отчетности; 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соответствия показателей баланса с данными бухгалтерского учета главной книги.</w:t>
      </w:r>
    </w:p>
    <w:p w:rsidR="003826DE" w:rsidRPr="00E62422" w:rsidRDefault="003826DE" w:rsidP="003826DE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422">
        <w:rPr>
          <w:rFonts w:ascii="Times New Roman" w:hAnsi="Times New Roman"/>
          <w:sz w:val="28"/>
          <w:szCs w:val="28"/>
        </w:rPr>
        <w:t>Бюджетная отчетность формировалась согласно приказов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редакции, действующей на момент составления отчетности (далее - Инструкция № 191н) и от 25.03.2011 № 33н «Об утверждении Инструкции о порядке составления, предоставления годовой, квартальной бюджетной отчетности государственных (муниципальных) бюджетных и</w:t>
      </w:r>
      <w:proofErr w:type="gramEnd"/>
      <w:r w:rsidRPr="00E62422">
        <w:rPr>
          <w:rFonts w:ascii="Times New Roman" w:hAnsi="Times New Roman"/>
          <w:sz w:val="28"/>
          <w:szCs w:val="28"/>
        </w:rPr>
        <w:t xml:space="preserve"> автономных учреждений» (далее - Инструкция   № 33н).</w:t>
      </w:r>
    </w:p>
    <w:p w:rsidR="003826DE" w:rsidRPr="00E62422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         В ходе внешней проверки годовой бюджетной отчетности ГАБС за 2020 год выявлен ряд недостатков и нарушений, в том числе те, которые могли повлиять на достоверность показателей годового отчета об исполнении  </w:t>
      </w:r>
      <w:r w:rsidRPr="00E62422">
        <w:rPr>
          <w:rFonts w:ascii="Times New Roman" w:hAnsi="Times New Roman"/>
          <w:sz w:val="28"/>
          <w:szCs w:val="28"/>
        </w:rPr>
        <w:lastRenderedPageBreak/>
        <w:t>бюджета района за   2020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D51E71">
        <w:rPr>
          <w:rFonts w:ascii="Times New Roman" w:hAnsi="Times New Roman"/>
          <w:sz w:val="28"/>
          <w:szCs w:val="28"/>
        </w:rPr>
        <w:t>В общей сложности по результат</w:t>
      </w:r>
      <w:r>
        <w:rPr>
          <w:rFonts w:ascii="Times New Roman" w:hAnsi="Times New Roman"/>
          <w:sz w:val="28"/>
          <w:szCs w:val="28"/>
        </w:rPr>
        <w:t xml:space="preserve">ам внешней проверки выявлено  27 нарушений и недостатков </w:t>
      </w:r>
      <w:r w:rsidRPr="00D51E71">
        <w:rPr>
          <w:rFonts w:ascii="Times New Roman" w:hAnsi="Times New Roman"/>
          <w:sz w:val="28"/>
          <w:szCs w:val="28"/>
        </w:rPr>
        <w:t xml:space="preserve">действующего законодательства на общую сумму                        </w:t>
      </w:r>
      <w:r>
        <w:rPr>
          <w:rFonts w:ascii="Times New Roman" w:hAnsi="Times New Roman"/>
          <w:sz w:val="28"/>
          <w:szCs w:val="28"/>
        </w:rPr>
        <w:t>47 966,6</w:t>
      </w:r>
      <w:r w:rsidRPr="00D51E7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.,  в том числе:</w:t>
      </w:r>
    </w:p>
    <w:p w:rsidR="003826DE" w:rsidRPr="00E62422" w:rsidRDefault="003826DE" w:rsidP="003826DE">
      <w:pPr>
        <w:numPr>
          <w:ilvl w:val="0"/>
          <w:numId w:val="2"/>
        </w:numPr>
        <w:spacing w:before="60"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b/>
          <w:i/>
          <w:sz w:val="28"/>
          <w:szCs w:val="28"/>
        </w:rPr>
        <w:t xml:space="preserve">порядка составления, заполнения  и предоставления годовой бюджетной отчетности, </w:t>
      </w:r>
      <w:r w:rsidRPr="00E62422">
        <w:rPr>
          <w:rFonts w:ascii="Times New Roman" w:hAnsi="Times New Roman"/>
          <w:sz w:val="28"/>
          <w:szCs w:val="28"/>
        </w:rPr>
        <w:t>установленные инструкцией № 191н</w:t>
      </w:r>
      <w:r w:rsidRPr="00E62422">
        <w:rPr>
          <w:rFonts w:ascii="Times New Roman" w:hAnsi="Times New Roman"/>
          <w:b/>
          <w:i/>
          <w:sz w:val="28"/>
          <w:szCs w:val="28"/>
        </w:rPr>
        <w:t>, что отрицательно сказалось на информативности  показателей бюджетной отчетности</w:t>
      </w:r>
    </w:p>
    <w:p w:rsidR="003826DE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 - в пояснительной записке в составе годового отчета не отражены все аспекты деятельности объекта проверки – 4 ГАБС; отмечена  несогласованность информации, отраженной в текстовой части пояснительной записки и информации,  отраженной в приложении ф.0503164 – 1 ГАБС;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6F47">
        <w:rPr>
          <w:rFonts w:ascii="Times New Roman" w:hAnsi="Times New Roman"/>
          <w:sz w:val="28"/>
          <w:szCs w:val="28"/>
        </w:rPr>
        <w:t xml:space="preserve">в   Справке о наличии имущества и обязательств на </w:t>
      </w:r>
      <w:proofErr w:type="spellStart"/>
      <w:r w:rsidRPr="002B6F47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2B6F47">
        <w:rPr>
          <w:rFonts w:ascii="Times New Roman" w:hAnsi="Times New Roman"/>
          <w:sz w:val="28"/>
          <w:szCs w:val="28"/>
        </w:rPr>
        <w:t xml:space="preserve"> счетах к Балансу ф. 0503130 стоимость основных средств, переданных в эксплуатацию в сумме 5,3 тыс. рублей</w:t>
      </w:r>
      <w:r>
        <w:rPr>
          <w:rFonts w:ascii="Times New Roman" w:hAnsi="Times New Roman"/>
          <w:sz w:val="28"/>
          <w:szCs w:val="28"/>
        </w:rPr>
        <w:t>,</w:t>
      </w:r>
      <w:r w:rsidRPr="002B6F47">
        <w:rPr>
          <w:rFonts w:ascii="Times New Roman" w:hAnsi="Times New Roman"/>
          <w:sz w:val="28"/>
          <w:szCs w:val="28"/>
        </w:rPr>
        <w:t xml:space="preserve"> отражена по счету 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F47">
        <w:rPr>
          <w:rFonts w:ascii="Times New Roman" w:hAnsi="Times New Roman"/>
          <w:sz w:val="28"/>
          <w:szCs w:val="28"/>
        </w:rPr>
        <w:t>«Материальные ценности, оплаченные по централизованному снабжению»</w:t>
      </w:r>
      <w:r>
        <w:rPr>
          <w:rFonts w:ascii="Times New Roman" w:hAnsi="Times New Roman"/>
          <w:sz w:val="28"/>
          <w:szCs w:val="28"/>
        </w:rPr>
        <w:t>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- в </w:t>
      </w:r>
      <w:hyperlink r:id="rId5" w:anchor="dst8730" w:history="1">
        <w:r w:rsidRPr="00E62422">
          <w:rPr>
            <w:rStyle w:val="a3"/>
            <w:rFonts w:ascii="Times New Roman" w:hAnsi="Times New Roman"/>
            <w:sz w:val="28"/>
            <w:szCs w:val="28"/>
          </w:rPr>
          <w:t>разделе 2</w:t>
        </w:r>
      </w:hyperlink>
      <w:r w:rsidRPr="00E62422">
        <w:rPr>
          <w:rFonts w:ascii="Times New Roman" w:hAnsi="Times New Roman"/>
          <w:sz w:val="28"/>
          <w:szCs w:val="28"/>
        </w:rPr>
        <w:t xml:space="preserve"> Сведений (ф. 0503169) не раскрыта аналитическая информация о </w:t>
      </w:r>
      <w:r>
        <w:rPr>
          <w:rFonts w:ascii="Times New Roman" w:hAnsi="Times New Roman"/>
          <w:sz w:val="28"/>
          <w:szCs w:val="28"/>
        </w:rPr>
        <w:t xml:space="preserve">причинах образования </w:t>
      </w:r>
      <w:r w:rsidRPr="00E62422">
        <w:rPr>
          <w:rFonts w:ascii="Times New Roman" w:hAnsi="Times New Roman"/>
          <w:sz w:val="28"/>
          <w:szCs w:val="28"/>
        </w:rPr>
        <w:t>просроченной дебиторской задолженности у</w:t>
      </w:r>
      <w:r>
        <w:rPr>
          <w:rFonts w:ascii="Times New Roman" w:hAnsi="Times New Roman"/>
          <w:sz w:val="28"/>
          <w:szCs w:val="28"/>
        </w:rPr>
        <w:t>чреждения в сумме 505,8</w:t>
      </w:r>
      <w:r w:rsidRPr="00E62422">
        <w:rPr>
          <w:rFonts w:ascii="Times New Roman" w:hAnsi="Times New Roman"/>
          <w:sz w:val="28"/>
          <w:szCs w:val="28"/>
        </w:rPr>
        <w:t xml:space="preserve"> тыс. руб. при наличии оснований для ее заполнения - 1 ГАБС;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в Сведениях ф.0503175 отражена неточная информация о суммах экономии, достигнутой в результате применения конкурентных способов определения поставщиков в общей сумме 1 958,7 тыс. руб.,  что не отвечает требованиям п.170.2. Инструкции № 191н – 1 ГАБС;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- нарушение требований, предъявляемых к проведению инвентаризации  обязательств  (не </w:t>
      </w:r>
      <w:proofErr w:type="gramStart"/>
      <w:r w:rsidRPr="00E62422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E62422">
        <w:rPr>
          <w:rFonts w:ascii="Times New Roman" w:hAnsi="Times New Roman"/>
          <w:sz w:val="28"/>
          <w:szCs w:val="28"/>
        </w:rPr>
        <w:t xml:space="preserve"> инвентаризации задолженности по выданным кредитам) – 1 ГАБС. </w:t>
      </w:r>
      <w:r w:rsidRPr="00E62422">
        <w:rPr>
          <w:rFonts w:ascii="Times New Roman" w:hAnsi="Times New Roman"/>
          <w:bCs/>
          <w:sz w:val="28"/>
          <w:szCs w:val="28"/>
        </w:rPr>
        <w:t>В составе дебиторской задолженности по  расчетам по предоставленным кредитам, займам  на конец года значится необоснованная задолженность в общей сумме 3 308,8  тыс. руб.  по трем контрагентам, по которым прекращена деятельность и они исключены из</w:t>
      </w:r>
      <w:r w:rsidRPr="00E624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422">
        <w:rPr>
          <w:rFonts w:ascii="Times New Roman" w:hAnsi="Times New Roman"/>
          <w:bCs/>
          <w:sz w:val="28"/>
          <w:szCs w:val="28"/>
        </w:rPr>
        <w:t>Единого государственного реестра юридических лиц;</w:t>
      </w:r>
    </w:p>
    <w:p w:rsidR="003826DE" w:rsidRPr="00E62422" w:rsidRDefault="003826DE" w:rsidP="003826DE">
      <w:pPr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b/>
          <w:i/>
          <w:sz w:val="28"/>
          <w:szCs w:val="28"/>
        </w:rPr>
        <w:t>порядка и методологии бюджетного учета,</w:t>
      </w:r>
      <w:r w:rsidRPr="00E62422">
        <w:rPr>
          <w:rFonts w:ascii="Times New Roman" w:hAnsi="Times New Roman"/>
          <w:sz w:val="28"/>
          <w:szCs w:val="28"/>
        </w:rPr>
        <w:t xml:space="preserve">  установленными   БК РФ, Законом «О бухгалтерском учете», Инструкциями по бюджетному учету:</w:t>
      </w:r>
    </w:p>
    <w:p w:rsidR="003826DE" w:rsidRPr="00E62422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62422">
        <w:rPr>
          <w:rFonts w:ascii="Times New Roman" w:hAnsi="Times New Roman"/>
          <w:sz w:val="28"/>
          <w:szCs w:val="28"/>
        </w:rPr>
        <w:t xml:space="preserve">- в невыполнение требований п.38 Инструкции № 162н  при передаче имущества в концессию не осуществлено внутреннее перемещение объектов имущества казны по соответствующим счетам аналитического учета счета </w:t>
      </w:r>
      <w:hyperlink r:id="rId6" w:anchor="/document/12180897/entry/1089000" w:history="1">
        <w:r w:rsidRPr="00E62422">
          <w:rPr>
            <w:rStyle w:val="a3"/>
            <w:rFonts w:ascii="Times New Roman" w:hAnsi="Times New Roman"/>
            <w:sz w:val="28"/>
            <w:szCs w:val="28"/>
          </w:rPr>
          <w:t>010890000</w:t>
        </w:r>
      </w:hyperlink>
      <w:r w:rsidRPr="00E62422">
        <w:rPr>
          <w:rFonts w:ascii="Times New Roman" w:hAnsi="Times New Roman"/>
          <w:sz w:val="28"/>
          <w:szCs w:val="28"/>
        </w:rPr>
        <w:t xml:space="preserve"> "Нефинансовые активы, составляющие казну в концессии" и  счета </w:t>
      </w:r>
      <w:hyperlink r:id="rId7" w:anchor="/document/12180897/entry/1085000" w:history="1">
        <w:r w:rsidRPr="00E62422">
          <w:rPr>
            <w:rStyle w:val="a3"/>
            <w:rFonts w:ascii="Times New Roman" w:hAnsi="Times New Roman"/>
            <w:sz w:val="28"/>
            <w:szCs w:val="28"/>
          </w:rPr>
          <w:t>010850000</w:t>
        </w:r>
      </w:hyperlink>
      <w:r w:rsidRPr="00E62422">
        <w:rPr>
          <w:rFonts w:ascii="Times New Roman" w:hAnsi="Times New Roman"/>
          <w:sz w:val="28"/>
          <w:szCs w:val="28"/>
        </w:rPr>
        <w:t xml:space="preserve"> "Нефинансовые активы, составляющие казну", показатели ф.0503168 (казна) не обеспечивают полную и достоверную информацию – 1  ГАБС;</w:t>
      </w:r>
      <w:proofErr w:type="gramEnd"/>
    </w:p>
    <w:p w:rsidR="003826DE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    - в невыполнение требований п.п. 134, 145 Инструкции № 162н  в отчетном периоде на счетах бюджетного учета все проверенные ГАПС не </w:t>
      </w:r>
      <w:r w:rsidRPr="00E62422">
        <w:rPr>
          <w:rFonts w:ascii="Times New Roman" w:hAnsi="Times New Roman"/>
          <w:sz w:val="28"/>
          <w:szCs w:val="28"/>
        </w:rPr>
        <w:lastRenderedPageBreak/>
        <w:t>осуществляли учет  лимитов бюджетных обязательств  и утвержденных бюджетных ассигнований на соответствующих счетах по санкционированию расходов бюджетов. Отраженный в    гр. 4, 5 ф.0503128 показатель по утвержденным (доведенным) бюджетным ассигнованиям и лимитам бюджетных обязательств   несопоставим с учетными данными,  что не отвечает  требованиям п.70 Инструкции 191н;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установлены расхождения между показателями граф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422">
        <w:rPr>
          <w:rFonts w:ascii="Times New Roman" w:hAnsi="Times New Roman"/>
          <w:sz w:val="28"/>
          <w:szCs w:val="28"/>
        </w:rPr>
        <w:t>9 Отчета об обязательствах (ф.0503128) и показателями учетных данных в части принятых бюджетных и денежных обя</w:t>
      </w:r>
      <w:r>
        <w:rPr>
          <w:rFonts w:ascii="Times New Roman" w:hAnsi="Times New Roman"/>
          <w:sz w:val="28"/>
          <w:szCs w:val="28"/>
        </w:rPr>
        <w:t>зательств на общую сумму 8 484,8</w:t>
      </w:r>
      <w:r w:rsidRPr="00E62422">
        <w:rPr>
          <w:rFonts w:ascii="Times New Roman" w:hAnsi="Times New Roman"/>
          <w:sz w:val="28"/>
          <w:szCs w:val="28"/>
        </w:rPr>
        <w:t xml:space="preserve"> тыс. руб. – 3 ГАБС;</w:t>
      </w:r>
    </w:p>
    <w:p w:rsidR="003826DE" w:rsidRPr="00E62422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 xml:space="preserve">     - в составе основных средств (сч.10100)  числятся объекты  стоимостью до 10,0 тыс. руб.  выданные в эксплуатацию  общая стоимость которых составляет 43,2 тыс. руб.,  что не отвечает требованиям  п. 373 Инструкции 157н – 1 ГАБС; </w:t>
      </w:r>
    </w:p>
    <w:p w:rsidR="003826DE" w:rsidRPr="00E62422" w:rsidRDefault="003826DE" w:rsidP="003826DE">
      <w:pPr>
        <w:numPr>
          <w:ilvl w:val="0"/>
          <w:numId w:val="3"/>
        </w:numPr>
        <w:spacing w:before="60"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b/>
          <w:i/>
          <w:sz w:val="28"/>
          <w:szCs w:val="28"/>
        </w:rPr>
        <w:t>в ходе исполнения бюджета:</w:t>
      </w:r>
    </w:p>
    <w:p w:rsidR="003826DE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2422">
        <w:rPr>
          <w:rFonts w:ascii="Times New Roman" w:hAnsi="Times New Roman"/>
          <w:sz w:val="28"/>
          <w:szCs w:val="28"/>
        </w:rPr>
        <w:t xml:space="preserve"> порядка составления,  утверждения и ведения  бюджетной сметы,  общая сумма нарушений составляет 13 385,0 тыс. руб. – 1 ГАБС;</w:t>
      </w:r>
    </w:p>
    <w:p w:rsidR="003826DE" w:rsidRPr="00E36C6D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6C6D">
        <w:rPr>
          <w:rFonts w:ascii="Times New Roman" w:hAnsi="Times New Roman"/>
          <w:sz w:val="28"/>
          <w:szCs w:val="28"/>
        </w:rPr>
        <w:t>-  порядка применения бюджетной классификации РФ, в части неверного применения кодов вида расходов (ВР)</w:t>
      </w:r>
      <w:r>
        <w:rPr>
          <w:rFonts w:ascii="Times New Roman" w:hAnsi="Times New Roman"/>
          <w:sz w:val="28"/>
          <w:szCs w:val="28"/>
        </w:rPr>
        <w:t xml:space="preserve">  и код</w:t>
      </w:r>
      <w:r w:rsidRPr="00E36C6D">
        <w:rPr>
          <w:rFonts w:ascii="Times New Roman" w:hAnsi="Times New Roman"/>
          <w:sz w:val="28"/>
          <w:szCs w:val="28"/>
        </w:rPr>
        <w:t>ов классификации операций сектора государственного управления (КОСГУ)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C6D">
        <w:rPr>
          <w:rFonts w:ascii="Times New Roman" w:hAnsi="Times New Roman"/>
          <w:sz w:val="28"/>
          <w:szCs w:val="28"/>
        </w:rPr>
        <w:t>общая сумма нарушений составляет 852,8 тыс. руб. – 2 ГАБС;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422">
        <w:rPr>
          <w:rFonts w:ascii="Times New Roman" w:hAnsi="Times New Roman"/>
          <w:sz w:val="28"/>
          <w:szCs w:val="28"/>
        </w:rPr>
        <w:t xml:space="preserve">- установлены </w:t>
      </w:r>
      <w:r w:rsidRPr="007B6C88">
        <w:rPr>
          <w:rFonts w:ascii="Times New Roman" w:hAnsi="Times New Roman"/>
          <w:sz w:val="28"/>
          <w:szCs w:val="28"/>
        </w:rPr>
        <w:t>неэффективные расходы</w:t>
      </w:r>
      <w:r w:rsidRPr="00E62422">
        <w:rPr>
          <w:rFonts w:ascii="Times New Roman" w:hAnsi="Times New Roman"/>
          <w:sz w:val="28"/>
          <w:szCs w:val="28"/>
        </w:rPr>
        <w:t xml:space="preserve"> бюджетных средств в сумме 156,2 тыс. руб.,  выразившиеся в оплате:  штрафа</w:t>
      </w:r>
      <w:r>
        <w:rPr>
          <w:rFonts w:ascii="Times New Roman" w:hAnsi="Times New Roman"/>
          <w:sz w:val="28"/>
          <w:szCs w:val="28"/>
        </w:rPr>
        <w:t>,</w:t>
      </w:r>
      <w:r w:rsidRPr="00E62422">
        <w:rPr>
          <w:rFonts w:ascii="Times New Roman" w:hAnsi="Times New Roman"/>
          <w:sz w:val="28"/>
          <w:szCs w:val="28"/>
        </w:rPr>
        <w:t xml:space="preserve">  обусловленного ненадлежащим исполнением должностными лиц своих функциональных обязанностей – 100,0 тыс. руб.,  пени за несвоевременное перечисление налогов, страховых взносов – 8,2 тыс. руб., госпошлины по решению суда – 18,0 тыс. руб.,  штрафа за неисполнение требований предъявленного ранее исполнительного документа  - 30,0 тыс. руб. – 3 ГАБС;</w:t>
      </w:r>
      <w:proofErr w:type="gramEnd"/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  необоснованная дебиторская задолженность на конец отчетного периода – 23,9 тыс. рублей,  образовалась в результате переплаты по платежам в бюджет и внебюджетные фонды – 3 ГАПС;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нарушения при осуществлении государственных (муниципальных) закупок  в общей сумме 162,7 тыс. руб. – 1 ГАБС;</w:t>
      </w:r>
    </w:p>
    <w:p w:rsidR="003826DE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наличие на конец отчетного периода</w:t>
      </w:r>
      <w:r w:rsidRPr="00E624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2422">
        <w:rPr>
          <w:rFonts w:ascii="Times New Roman" w:hAnsi="Times New Roman"/>
          <w:sz w:val="28"/>
          <w:szCs w:val="28"/>
        </w:rPr>
        <w:t>просроченной кредиторской задолженности в общей сумме 9 858,0 тыс. руб. – 1 ГАПС;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2422">
        <w:rPr>
          <w:rFonts w:ascii="Times New Roman" w:hAnsi="Times New Roman"/>
          <w:sz w:val="28"/>
          <w:szCs w:val="28"/>
        </w:rPr>
        <w:t>наличие на конец отчетного периода</w:t>
      </w:r>
      <w:r w:rsidRPr="00E624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просроченной дебиторской</w:t>
      </w:r>
      <w:r w:rsidRPr="00E62422">
        <w:rPr>
          <w:rFonts w:ascii="Times New Roman" w:hAnsi="Times New Roman"/>
          <w:sz w:val="28"/>
          <w:szCs w:val="28"/>
        </w:rPr>
        <w:t xml:space="preserve"> зад</w:t>
      </w:r>
      <w:r>
        <w:rPr>
          <w:rFonts w:ascii="Times New Roman" w:hAnsi="Times New Roman"/>
          <w:sz w:val="28"/>
          <w:szCs w:val="28"/>
        </w:rPr>
        <w:t>олженности в общей сумме 505,8</w:t>
      </w:r>
      <w:r w:rsidRPr="00E62422">
        <w:rPr>
          <w:rFonts w:ascii="Times New Roman" w:hAnsi="Times New Roman"/>
          <w:sz w:val="28"/>
          <w:szCs w:val="28"/>
        </w:rPr>
        <w:t xml:space="preserve"> тыс. руб. – 1 ГАПС;</w:t>
      </w:r>
    </w:p>
    <w:p w:rsidR="003826DE" w:rsidRPr="00E62422" w:rsidRDefault="003826DE" w:rsidP="003826DE">
      <w:pPr>
        <w:spacing w:before="60"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t>- бюджетными учреждениями приняты бюджетные и денежные обязательства сверх объема, утвержденного планом финансово-хозяйственной деятельности – 9 221,4 тыс. руб. (подведомственные учреждения Комитета по образованию).</w:t>
      </w:r>
    </w:p>
    <w:p w:rsidR="003826DE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62422">
        <w:rPr>
          <w:rFonts w:ascii="Times New Roman" w:hAnsi="Times New Roman"/>
          <w:sz w:val="28"/>
          <w:szCs w:val="28"/>
        </w:rPr>
        <w:lastRenderedPageBreak/>
        <w:t xml:space="preserve">         Контрольно-счетной палатой в адрес ГРБС, допустивших недостатки и нарушения,  требующие принятие мер по их  устранению, </w:t>
      </w:r>
      <w:r>
        <w:rPr>
          <w:rFonts w:ascii="Times New Roman" w:hAnsi="Times New Roman"/>
          <w:sz w:val="28"/>
          <w:szCs w:val="28"/>
        </w:rPr>
        <w:t>внесены Представления.</w:t>
      </w:r>
    </w:p>
    <w:p w:rsidR="003826DE" w:rsidRPr="00E62422" w:rsidRDefault="003826DE" w:rsidP="003826D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2422">
        <w:rPr>
          <w:rFonts w:ascii="Times New Roman" w:hAnsi="Times New Roman"/>
          <w:sz w:val="28"/>
          <w:szCs w:val="28"/>
        </w:rPr>
        <w:t xml:space="preserve">По результатам внешней проверки бюджетной отчетности оформлено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62422">
        <w:rPr>
          <w:rFonts w:ascii="Times New Roman" w:hAnsi="Times New Roman"/>
          <w:sz w:val="28"/>
          <w:szCs w:val="28"/>
        </w:rPr>
        <w:t xml:space="preserve">6 заключений,  </w:t>
      </w:r>
      <w:r w:rsidR="004D549F">
        <w:rPr>
          <w:rFonts w:ascii="Times New Roman" w:hAnsi="Times New Roman"/>
          <w:sz w:val="28"/>
          <w:szCs w:val="28"/>
        </w:rPr>
        <w:t xml:space="preserve">которые </w:t>
      </w:r>
      <w:r w:rsidRPr="00E62422">
        <w:rPr>
          <w:rFonts w:ascii="Times New Roman" w:hAnsi="Times New Roman"/>
          <w:sz w:val="28"/>
          <w:szCs w:val="28"/>
        </w:rPr>
        <w:t xml:space="preserve"> в установленном порядке доведены до сведения Совета муниципального района «Оловяннинский район», а также  направлены Главе муниципального района «Оловяннинский район»  для рассмотрения и принятия мер реагирования. </w:t>
      </w:r>
    </w:p>
    <w:p w:rsidR="004D549F" w:rsidRDefault="004D549F" w:rsidP="004D549F">
      <w:pPr>
        <w:jc w:val="center"/>
      </w:pPr>
      <w:r>
        <w:t>__________________________________</w:t>
      </w:r>
    </w:p>
    <w:sectPr w:rsidR="004D549F" w:rsidSect="006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D49"/>
    <w:multiLevelType w:val="hybridMultilevel"/>
    <w:tmpl w:val="28AEE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CD2FE7"/>
    <w:multiLevelType w:val="hybridMultilevel"/>
    <w:tmpl w:val="B65E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34B0"/>
    <w:multiLevelType w:val="hybridMultilevel"/>
    <w:tmpl w:val="1F14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36F"/>
    <w:rsid w:val="002C3A25"/>
    <w:rsid w:val="003826DE"/>
    <w:rsid w:val="003B636F"/>
    <w:rsid w:val="004549F1"/>
    <w:rsid w:val="004D549F"/>
    <w:rsid w:val="00550E2C"/>
    <w:rsid w:val="006C0A99"/>
    <w:rsid w:val="00742106"/>
    <w:rsid w:val="009147C6"/>
    <w:rsid w:val="00BA3B40"/>
    <w:rsid w:val="00C9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www.consultant.ru/document/cons_doc_LAW_377747/c575c6d83b8b02f4bcb09b91783b1cd3906444e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2021-05-19T00:00:00Z</dcterms:created>
  <dcterms:modified xsi:type="dcterms:W3CDTF">2021-05-19T02:57:00Z</dcterms:modified>
</cp:coreProperties>
</file>