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8" w:rsidRPr="00AE67A2" w:rsidRDefault="00861B48" w:rsidP="00861B48">
      <w:pPr>
        <w:pStyle w:val="ConsPlusNormal"/>
        <w:ind w:firstLine="709"/>
        <w:jc w:val="both"/>
        <w:rPr>
          <w:b/>
        </w:rPr>
      </w:pPr>
      <w:r w:rsidRPr="00AE67A2">
        <w:rPr>
          <w:b/>
        </w:rPr>
        <w:t xml:space="preserve">Рекомендации </w:t>
      </w:r>
      <w:r>
        <w:rPr>
          <w:b/>
        </w:rPr>
        <w:t>по вопросам</w:t>
      </w:r>
      <w:r w:rsidRPr="00AE67A2">
        <w:rPr>
          <w:b/>
        </w:rPr>
        <w:t xml:space="preserve"> реализации </w:t>
      </w:r>
      <w:r>
        <w:rPr>
          <w:b/>
        </w:rPr>
        <w:t xml:space="preserve">налоговыми органами </w:t>
      </w:r>
      <w:r w:rsidRPr="00AE67A2">
        <w:rPr>
          <w:b/>
        </w:rPr>
        <w:t xml:space="preserve">нормативных правовых актов высших исполнительных органов государственной власти субъектов Российской Федерации, предусматривающих </w:t>
      </w:r>
      <w:r>
        <w:rPr>
          <w:b/>
        </w:rPr>
        <w:t xml:space="preserve">в период с 1 января по 31 декабря 2020 года (включительно) продление </w:t>
      </w:r>
      <w:r w:rsidRPr="00AE67A2">
        <w:rPr>
          <w:b/>
        </w:rPr>
        <w:t>сроков уплаты транспортного налога, налога на имущество организаций и земельного налога (авансовых платежей по налогам)</w:t>
      </w:r>
      <w:r>
        <w:rPr>
          <w:rStyle w:val="a8"/>
          <w:b/>
        </w:rPr>
        <w:footnoteReference w:id="1"/>
      </w:r>
    </w:p>
    <w:p w:rsidR="00861B48" w:rsidRDefault="00861B48" w:rsidP="00861B48">
      <w:pPr>
        <w:pStyle w:val="ConsPlusNormal"/>
        <w:ind w:firstLine="709"/>
        <w:jc w:val="both"/>
      </w:pPr>
    </w:p>
    <w:p w:rsidR="00861B48" w:rsidRDefault="00861B48" w:rsidP="00861B48">
      <w:pPr>
        <w:pStyle w:val="ConsPlusNormal"/>
        <w:ind w:firstLine="709"/>
        <w:jc w:val="both"/>
      </w:pPr>
      <w:r>
        <w:t>Федеральным законом «</w:t>
      </w:r>
      <w:r w:rsidRPr="00633663">
        <w:rPr>
          <w:bCs/>
          <w:iCs/>
          <w:color w:val="000000"/>
          <w:lang w:bidi="ru-RU"/>
        </w:rPr>
        <w:t>О внесении изменений в части первую и вторую</w:t>
      </w:r>
      <w:r>
        <w:rPr>
          <w:bCs/>
          <w:iCs/>
          <w:color w:val="000000"/>
          <w:lang w:bidi="ru-RU"/>
        </w:rPr>
        <w:t xml:space="preserve"> </w:t>
      </w:r>
      <w:r w:rsidRPr="00633663">
        <w:rPr>
          <w:bCs/>
          <w:iCs/>
          <w:color w:val="000000"/>
          <w:lang w:bidi="ru-RU"/>
        </w:rPr>
        <w:t>Налогового кодекса Российской Федерации и отдельные законодательные акты Российской Федерации</w:t>
      </w:r>
      <w:r>
        <w:rPr>
          <w:bCs/>
          <w:iCs/>
          <w:color w:val="000000"/>
          <w:lang w:bidi="ru-RU"/>
        </w:rPr>
        <w:t>»</w:t>
      </w:r>
      <w:r>
        <w:rPr>
          <w:rStyle w:val="a8"/>
        </w:rPr>
        <w:footnoteReference w:id="2"/>
      </w:r>
      <w:r>
        <w:t xml:space="preserve"> статья 4 </w:t>
      </w:r>
      <w:r w:rsidRPr="00AC2358">
        <w:t>Налогового кодекса Российской Федерации</w:t>
      </w:r>
      <w:r>
        <w:rPr>
          <w:rStyle w:val="a8"/>
        </w:rPr>
        <w:footnoteReference w:id="3"/>
      </w:r>
      <w:r w:rsidRPr="00AC2358">
        <w:t xml:space="preserve"> </w:t>
      </w:r>
      <w:r>
        <w:t>дополнена пунктом 4, согласно которому:</w:t>
      </w:r>
    </w:p>
    <w:p w:rsidR="00861B48" w:rsidRDefault="00861B48" w:rsidP="00861B48">
      <w:pPr>
        <w:pStyle w:val="ConsPlusNormal"/>
        <w:ind w:firstLine="709"/>
        <w:jc w:val="both"/>
      </w:pPr>
      <w:r>
        <w:t>- в</w:t>
      </w:r>
      <w:r w:rsidRPr="00C0358D">
        <w:t>ысшие исполнительные органы государственной власти субъектов Российской Федерации вправе в 2020 г</w:t>
      </w:r>
      <w:r>
        <w:t>оду</w:t>
      </w:r>
      <w:r w:rsidRPr="00C0358D">
        <w:t xml:space="preserve"> издавать нормативные правовые акты, предусматривающие в период с 1 января до 31 декабря 2020 г</w:t>
      </w:r>
      <w:r>
        <w:t>ода</w:t>
      </w:r>
      <w:r w:rsidRPr="00C0358D">
        <w:t xml:space="preserve"> (включительно)</w:t>
      </w:r>
      <w:r>
        <w:rPr>
          <w:rStyle w:val="a8"/>
        </w:rPr>
        <w:footnoteReference w:id="4"/>
      </w:r>
      <w:r>
        <w:t xml:space="preserve"> </w:t>
      </w:r>
      <w:r w:rsidRPr="00C0358D">
        <w:t>продление установленных законодательством субъектов Российской Федерации</w:t>
      </w:r>
      <w:r>
        <w:t xml:space="preserve"> о налогах и сборах </w:t>
      </w:r>
      <w:r w:rsidRPr="00C0358D">
        <w:t>и нормативными правовыми актами муниципальных образований</w:t>
      </w:r>
      <w:r>
        <w:t xml:space="preserve"> о налогах и сборах </w:t>
      </w:r>
      <w:r w:rsidRPr="00C0358D">
        <w:t>сроков уплаты региональных и местных налогов (авансовых платежей по налогам)</w:t>
      </w:r>
      <w:r>
        <w:t xml:space="preserve"> в случае, если указанные сроки не продлены в соответствии с пунктом 3 статьи 4 Кодекса (в редакции Закона) либо если в соответствии с пунктом 3 статьи 4 Кодекса (в редакции Закона) предусмотрены более ранние сроки их уплаты; </w:t>
      </w:r>
    </w:p>
    <w:p w:rsidR="00861B48" w:rsidRDefault="00861B48" w:rsidP="00861B48">
      <w:pPr>
        <w:pStyle w:val="ConsPlusNormal"/>
        <w:ind w:firstLine="709"/>
        <w:jc w:val="both"/>
      </w:pPr>
      <w:r>
        <w:t>- в</w:t>
      </w:r>
      <w:r w:rsidRPr="007C3817">
        <w:t xml:space="preserve"> случае, если в соответствии с пунктом</w:t>
      </w:r>
      <w:r>
        <w:t xml:space="preserve"> 4 статьи 4 Кодекса (в редакции Закона) </w:t>
      </w:r>
      <w:r w:rsidRPr="007C3817">
        <w:t>сроки уплаты региональных и местных налогов (авансовых платежей по налогам)</w:t>
      </w:r>
      <w:r>
        <w:t xml:space="preserve"> </w:t>
      </w:r>
      <w:r w:rsidRPr="007C3817">
        <w:t>продлеваются для отдельных категорий налогоплательщиков</w:t>
      </w:r>
      <w:r>
        <w:rPr>
          <w:rStyle w:val="a8"/>
        </w:rPr>
        <w:footnoteReference w:id="5"/>
      </w:r>
      <w:r w:rsidRPr="007C3817">
        <w:t xml:space="preserve">, то при принятии </w:t>
      </w:r>
      <w:r>
        <w:t>НПА</w:t>
      </w:r>
      <w:r w:rsidRPr="007C3817">
        <w:t xml:space="preserve"> и установлении критериев определения этих категорий учитыва</w:t>
      </w:r>
      <w:r>
        <w:t xml:space="preserve">ются </w:t>
      </w:r>
      <w:r w:rsidRPr="007C3817">
        <w:t>следующие показатели: основные виды экономической деятельности, которые осуществляют налогоплательщики по состоянию на 1 марта 2020 г</w:t>
      </w:r>
      <w:r>
        <w:t>ода;</w:t>
      </w:r>
      <w:r w:rsidRPr="007C3817">
        <w:t xml:space="preserve"> данные, содержащиеся </w:t>
      </w:r>
      <w:r>
        <w:t xml:space="preserve">в </w:t>
      </w:r>
      <w:r w:rsidRPr="007C3817">
        <w:t>реестрах, ведение которых осуществляет федеральный орган исполнительной власти, уполномоченный по контролю и надзору в области налогов и сборов</w:t>
      </w:r>
      <w:r>
        <w:t>,</w:t>
      </w:r>
      <w:r w:rsidRPr="007C3817">
        <w:t xml:space="preserve"> в налоговой или бухгалтерской (финансовой) отчетности</w:t>
      </w:r>
      <w:r>
        <w:t xml:space="preserve">; </w:t>
      </w:r>
    </w:p>
    <w:p w:rsidR="00861B48" w:rsidRDefault="00861B48" w:rsidP="00861B48">
      <w:pPr>
        <w:pStyle w:val="ConsPlusNormal"/>
        <w:ind w:firstLine="709"/>
        <w:jc w:val="both"/>
      </w:pPr>
      <w:r>
        <w:t>- в</w:t>
      </w:r>
      <w:r w:rsidRPr="007C3817">
        <w:t xml:space="preserve"> слу</w:t>
      </w:r>
      <w:r>
        <w:t xml:space="preserve">чае определения </w:t>
      </w:r>
      <w:r w:rsidRPr="007C3817">
        <w:t>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</w:t>
      </w:r>
      <w:r>
        <w:rPr>
          <w:rStyle w:val="a8"/>
        </w:rPr>
        <w:footnoteReference w:id="6"/>
      </w:r>
      <w:r>
        <w:t xml:space="preserve"> </w:t>
      </w:r>
      <w:r w:rsidRPr="007C3817">
        <w:t>с указанием их идентификационных номеров, который направляется в налоговый орган по субъекту Российской Федерации</w:t>
      </w:r>
      <w:r>
        <w:rPr>
          <w:rStyle w:val="a8"/>
        </w:rPr>
        <w:footnoteReference w:id="7"/>
      </w:r>
      <w:r w:rsidRPr="007C3817">
        <w:t xml:space="preserve"> в электронной форме</w:t>
      </w:r>
      <w:r>
        <w:t xml:space="preserve">. </w:t>
      </w:r>
    </w:p>
    <w:p w:rsidR="00861B48" w:rsidRDefault="00861B48" w:rsidP="00861B48">
      <w:pPr>
        <w:pStyle w:val="ConsPlusNormal"/>
        <w:ind w:firstLine="709"/>
        <w:jc w:val="both"/>
      </w:pPr>
      <w:r>
        <w:t>В целях обеспечения реализации указанных положений рекомендуется учитывать следующее:</w:t>
      </w:r>
    </w:p>
    <w:p w:rsidR="00861B48" w:rsidRDefault="00861B48" w:rsidP="00861B48">
      <w:pPr>
        <w:pStyle w:val="ConsPlusNormal"/>
        <w:ind w:firstLine="709"/>
        <w:jc w:val="both"/>
      </w:pPr>
      <w:r>
        <w:lastRenderedPageBreak/>
        <w:t xml:space="preserve">1. Кодексом (часть 2 статьи 356, пункт 1 статьи 363, пункт 1 статьи 383, пункт 1 статьи 397) на налоговый период 2020 года предусмотрены полномочия </w:t>
      </w:r>
      <w:r w:rsidRPr="00C0358D">
        <w:t xml:space="preserve">субъектов Российской Федерации </w:t>
      </w:r>
      <w:r>
        <w:t xml:space="preserve">по установлению </w:t>
      </w:r>
      <w:r w:rsidRPr="00C0358D">
        <w:t>сроков уплаты</w:t>
      </w:r>
      <w:r>
        <w:t xml:space="preserve"> транспортного налога налогоплательщиками-организациями, налога на имущество организаций (авансовых платежей по налогам), а также полномочия муниципальных образований (городов федерального значения) по установлению сроков уплаты земельного налога налогоплательщиками-организациями (авансовых платежей по налогу)</w:t>
      </w:r>
      <w:r>
        <w:rPr>
          <w:rStyle w:val="a8"/>
        </w:rPr>
        <w:footnoteReference w:id="8"/>
      </w:r>
      <w:r>
        <w:t xml:space="preserve">. </w:t>
      </w:r>
    </w:p>
    <w:p w:rsidR="00861B48" w:rsidRDefault="00861B48" w:rsidP="00861B48">
      <w:pPr>
        <w:pStyle w:val="ConsPlusNormal"/>
        <w:ind w:firstLine="709"/>
        <w:jc w:val="both"/>
      </w:pPr>
      <w:r>
        <w:t>Таким образом, НПА не может изменять установленные Кодексом сроки уплаты транспортного и земельного налогов налогоплательщиками-физическими лицами (пункт 1 статьи 363, пункт 1 статьи 397), срок уплаты налога на имущество физических лиц</w:t>
      </w:r>
      <w:r w:rsidRPr="0086079B">
        <w:t xml:space="preserve"> </w:t>
      </w:r>
      <w:r>
        <w:t xml:space="preserve">(пункт 1 статьи 409 Кодекса), а также уменьшать продленные Правительством Российской Федерации сроки уплаты авансовых платежей по налогам в случае, если Правительством Российской Федерации будут реализованы соответствующие полномочия, предусмотренные подпунктом 3 пункта 3 статьи 4 Кодекса (в редакции Закона).     </w:t>
      </w:r>
    </w:p>
    <w:p w:rsidR="00861B48" w:rsidRDefault="00861B48" w:rsidP="00861B48">
      <w:pPr>
        <w:pStyle w:val="ConsPlusNormal"/>
        <w:ind w:firstLine="709"/>
        <w:jc w:val="both"/>
      </w:pPr>
      <w:r>
        <w:t>2. НПА</w:t>
      </w:r>
      <w:r w:rsidRPr="00C0358D">
        <w:t xml:space="preserve"> </w:t>
      </w:r>
      <w:r>
        <w:t>может предусматривать продление сроков уплаты налогов (авансовых платежей по налогам)</w:t>
      </w:r>
      <w:r>
        <w:rPr>
          <w:rStyle w:val="a8"/>
        </w:rPr>
        <w:footnoteReference w:id="9"/>
      </w:r>
      <w:r>
        <w:t>, в т.ч.:</w:t>
      </w:r>
    </w:p>
    <w:p w:rsidR="00861B48" w:rsidRDefault="00861B48" w:rsidP="00861B48">
      <w:pPr>
        <w:pStyle w:val="ConsPlusNormal"/>
        <w:ind w:firstLine="709"/>
        <w:jc w:val="both"/>
      </w:pPr>
      <w:r>
        <w:t>в отношении сроков уплаты нескольких или отдельных налогов;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в отношении сроков уплаты авансовых платежей по нескольким или отдельным налогам за все или определенные отчетные периоды (например, только за первый квартал 2020 года); </w:t>
      </w:r>
    </w:p>
    <w:p w:rsidR="00861B48" w:rsidRDefault="00861B48" w:rsidP="00861B48">
      <w:pPr>
        <w:pStyle w:val="ConsPlusNormal"/>
        <w:ind w:firstLine="709"/>
        <w:jc w:val="both"/>
      </w:pPr>
      <w:r>
        <w:t>без указания категорий налогоплательщиков, в отношении которых продлеваются сроки, т.е. для всех налогоплательщиков-организаций;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с указанием категорий налогоплательщиков, в отношении которых продлеваются сроки. </w:t>
      </w:r>
    </w:p>
    <w:p w:rsidR="00861B48" w:rsidRDefault="00861B48" w:rsidP="00861B48">
      <w:pPr>
        <w:pStyle w:val="ConsPlusNormal"/>
        <w:ind w:firstLine="709"/>
        <w:jc w:val="both"/>
      </w:pPr>
      <w:r>
        <w:t>Исходя из пункта 2 Порядка направления информации об установлении, изменении и прекращении действия региональных и местных налогов в электронной форме, утверждённого приказом ФНС России от 22.11.2018 № ММВ-7-21/652@, издание НПА</w:t>
      </w:r>
      <w:r w:rsidRPr="004A454A">
        <w:t xml:space="preserve"> не </w:t>
      </w:r>
      <w:r>
        <w:t>влечет обязанность н</w:t>
      </w:r>
      <w:r w:rsidRPr="004A454A">
        <w:t>аправлени</w:t>
      </w:r>
      <w:r>
        <w:t>я</w:t>
      </w:r>
      <w:r w:rsidRPr="004A454A">
        <w:t xml:space="preserve"> в налоговый орган </w:t>
      </w:r>
      <w:r>
        <w:t>сведений по форме «Информация об установлении, изменении и прекращении действия региональных и местных налогов» (КНД</w:t>
      </w:r>
      <w:r w:rsidRPr="004A454A">
        <w:t xml:space="preserve"> 1190803</w:t>
      </w:r>
      <w:r>
        <w:t xml:space="preserve">). 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Сведения об издании НПА используются налоговым органом из источников официального опубликования НПА. </w:t>
      </w:r>
    </w:p>
    <w:p w:rsidR="00861B48" w:rsidRDefault="00861B48" w:rsidP="00861B48">
      <w:pPr>
        <w:pStyle w:val="ConsPlusNormal"/>
        <w:ind w:firstLine="709"/>
        <w:jc w:val="both"/>
      </w:pPr>
      <w:r>
        <w:t>3. В случае, если НПА</w:t>
      </w:r>
      <w:r w:rsidRPr="00C0358D">
        <w:t xml:space="preserve"> </w:t>
      </w:r>
      <w:r>
        <w:t xml:space="preserve">предусматривает продление сроков для категорий налогоплательщиков, то для их определения </w:t>
      </w:r>
      <w:r w:rsidRPr="007C3817">
        <w:t xml:space="preserve">могут учитываться следующие показатели: </w:t>
      </w:r>
    </w:p>
    <w:p w:rsidR="00861B48" w:rsidRDefault="00861B48" w:rsidP="00861B48">
      <w:pPr>
        <w:pStyle w:val="ConsPlusNormal"/>
        <w:ind w:firstLine="709"/>
        <w:jc w:val="both"/>
      </w:pPr>
      <w:r w:rsidRPr="007C3817">
        <w:t>основные виды экономической деятельности, которые осуществляют налогоплательщики по состоянию на 1 марта 2020 г</w:t>
      </w:r>
      <w:r>
        <w:t xml:space="preserve">ода; </w:t>
      </w:r>
    </w:p>
    <w:p w:rsidR="00861B48" w:rsidRDefault="00861B48" w:rsidP="00861B48">
      <w:pPr>
        <w:pStyle w:val="ConsPlusNormal"/>
        <w:ind w:firstLine="709"/>
        <w:jc w:val="both"/>
      </w:pPr>
      <w:r w:rsidRPr="007C3817">
        <w:t xml:space="preserve">данные, содержащиеся в реестрах, ведение которых осуществляет </w:t>
      </w:r>
      <w:r>
        <w:t xml:space="preserve">ФНС России (например, единый реестр субъектов малого и среднего предпринимательства), </w:t>
      </w:r>
      <w:r w:rsidRPr="007C3817">
        <w:t>в налоговой или бухгалтерской (финансовой) отчетности</w:t>
      </w:r>
      <w:r>
        <w:t xml:space="preserve">. </w:t>
      </w:r>
    </w:p>
    <w:p w:rsidR="00861B48" w:rsidRDefault="00861B48" w:rsidP="00861B48">
      <w:pPr>
        <w:pStyle w:val="ConsPlusNormal"/>
        <w:ind w:firstLine="709"/>
        <w:jc w:val="both"/>
      </w:pPr>
      <w:r>
        <w:lastRenderedPageBreak/>
        <w:t xml:space="preserve">Определение категорий означает наличие в НПА однозначно понимаемых условий для применения (или не применения) этих категорий в отношении налогоплательщиков-организаций (например, указание в НПА на то, что продление сроков распространяется на организации, основной вид экономической деятельности которых соответствует определенному коду (кодам) ОКВЭД, содержащемуся в едином государственном реестре юридических лиц на конкретную дату). 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Учитывая изложенное, определение категорий типа </w:t>
      </w:r>
      <w:r w:rsidRPr="00613A28">
        <w:rPr>
          <w:i/>
        </w:rPr>
        <w:t>«Продлить срок уплаты авансовых платежей за I квартал 2020 г. по земельному налогу налогоплательщикам-организациям, осуществляющим деятельность в сфере культуры»</w:t>
      </w:r>
      <w:r>
        <w:t xml:space="preserve"> не может рассматриваться учитывающим показатели, предусмотренные абзацем вторым пункта 4 статьи 4 Кодекса (в редакции Закона). В таком случае для определения категорий налогоплательщиков, в отношении которых будет действовать продление сроков, необходимо применять положения</w:t>
      </w:r>
      <w:r w:rsidRPr="004E77E3">
        <w:t xml:space="preserve"> </w:t>
      </w:r>
      <w:r>
        <w:t xml:space="preserve">абзаца третьего пункта 4 статьи 4 Кодекса (в редакции Закона). 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4. </w:t>
      </w:r>
      <w:r w:rsidRPr="00C0358D">
        <w:t>В случае определения категорий</w:t>
      </w:r>
      <w:r>
        <w:t xml:space="preserve"> налогоплательщиков </w:t>
      </w:r>
      <w:r w:rsidRPr="00C0358D">
        <w:t>на основе иных</w:t>
      </w:r>
      <w:r>
        <w:t xml:space="preserve"> (не указанных</w:t>
      </w:r>
      <w:r w:rsidRPr="00892324">
        <w:t xml:space="preserve"> </w:t>
      </w:r>
      <w:r>
        <w:t xml:space="preserve">в абзаце втором пункта 4 статьи 4 Кодекса) </w:t>
      </w:r>
      <w:r w:rsidRPr="00C0358D">
        <w:t>критериев уполномоченный орган исполнительной власти субъекта Российской Федерации формирует соответствующий перечень налогоплательщиков</w:t>
      </w:r>
      <w:r>
        <w:t xml:space="preserve"> </w:t>
      </w:r>
      <w:r w:rsidRPr="00C0358D">
        <w:t>с указанием их идентификационных номеров, который направляется</w:t>
      </w:r>
      <w:r>
        <w:t xml:space="preserve"> </w:t>
      </w:r>
      <w:r w:rsidRPr="00C0358D">
        <w:t>в налоговый орган в электронной форме</w:t>
      </w:r>
      <w:r>
        <w:t>.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Примерный состав сведений перечня налогоплательщиков: 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ИНН организаций, на которые распространяется действие НПА; 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указание на то, что перечень относится к применению НПА. 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Направление перечня в налоговый орган целесообразно осуществить с сопроводительным письмом. </w:t>
      </w:r>
    </w:p>
    <w:p w:rsidR="00861B48" w:rsidRDefault="00861B48" w:rsidP="00861B48">
      <w:pPr>
        <w:pStyle w:val="ConsPlusNormal"/>
        <w:ind w:firstLine="709"/>
        <w:jc w:val="both"/>
      </w:pPr>
      <w:r>
        <w:t>5. Рекомендуемые сроки для направления перечня</w:t>
      </w:r>
      <w:r w:rsidRPr="00564C82">
        <w:t xml:space="preserve"> </w:t>
      </w:r>
      <w:r>
        <w:t xml:space="preserve">налогоплательщиков в налоговый орган во избежание повышенных рисков несоблюдения прав и законных интересов налогоплательщиков: 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не позднее одного месяца в случае издания НПА о продлении срока уплаты налога (налогов); </w:t>
      </w:r>
    </w:p>
    <w:p w:rsidR="00861B48" w:rsidRDefault="00861B48" w:rsidP="00861B48">
      <w:pPr>
        <w:pStyle w:val="ConsPlusNormal"/>
        <w:ind w:firstLine="709"/>
        <w:jc w:val="both"/>
      </w:pPr>
      <w:r>
        <w:t xml:space="preserve">не позднее 01.12.2020 в случае издания НПА о продлении срока уплаты авансовых платежей по налогу (налогам). </w:t>
      </w:r>
    </w:p>
    <w:p w:rsidR="00861B48" w:rsidRDefault="00861B48" w:rsidP="00861B48">
      <w:pPr>
        <w:pStyle w:val="ConsPlusNormal"/>
        <w:ind w:firstLine="709"/>
        <w:jc w:val="both"/>
      </w:pPr>
      <w:r>
        <w:t>6. На основании НПА, а также перечня налогоплательщиков (в случае его представления) налоговый орган не позднее 7-ми рабочих дней осуществляет:</w:t>
      </w:r>
    </w:p>
    <w:p w:rsidR="00861B48" w:rsidRDefault="00861B48" w:rsidP="00861B48">
      <w:pPr>
        <w:pStyle w:val="ConsPlusNormal"/>
        <w:ind w:firstLine="709"/>
        <w:jc w:val="both"/>
      </w:pPr>
      <w:r>
        <w:t>определение налогоплательщиков, для которых в АИС «Налог-3» обеспечивается настройка сроков уплаты налогов (авансовых платежей по налогам);</w:t>
      </w:r>
    </w:p>
    <w:p w:rsidR="00861B48" w:rsidRDefault="00861B48" w:rsidP="00861B48">
      <w:pPr>
        <w:pStyle w:val="ConsPlusNormal"/>
        <w:ind w:firstLine="709"/>
        <w:jc w:val="both"/>
      </w:pPr>
      <w:r>
        <w:t>внесение соответствующих сведений в</w:t>
      </w:r>
      <w:r w:rsidRPr="003B7C53">
        <w:t xml:space="preserve"> </w:t>
      </w:r>
      <w:r>
        <w:t xml:space="preserve">АИС «Налог-3» после доработки программного обеспечения, о чем дополнительно будут информированы налоговые органы; </w:t>
      </w:r>
    </w:p>
    <w:p w:rsidR="00861B48" w:rsidRDefault="00861B48" w:rsidP="00861B48">
      <w:pPr>
        <w:pStyle w:val="ConsPlusNormal"/>
        <w:ind w:firstLine="709"/>
        <w:jc w:val="both"/>
      </w:pPr>
      <w:r>
        <w:t>актуализацию информационного ресурса «Справочная информация о ставках и льготах по имущественным налогам» на сайте ФНС России.</w:t>
      </w:r>
    </w:p>
    <w:p w:rsidR="00861B48" w:rsidRDefault="00861B48" w:rsidP="00861B48">
      <w:pPr>
        <w:pStyle w:val="ConsPlusNormal"/>
        <w:ind w:firstLine="709"/>
        <w:jc w:val="both"/>
      </w:pPr>
    </w:p>
    <w:p w:rsidR="00861B48" w:rsidRDefault="00861B48" w:rsidP="00861B48">
      <w:pPr>
        <w:pStyle w:val="ConsPlusNormal"/>
        <w:ind w:firstLine="709"/>
        <w:jc w:val="both"/>
      </w:pPr>
      <w:r>
        <w:lastRenderedPageBreak/>
        <w:t xml:space="preserve">По вопросам методологического сопровождения реализации в АИС «Налог-3» соответствующих настроек справочников необходимо обращаться в Управление налогообложения имущества ФНС России (по телефону </w:t>
      </w:r>
      <w:r>
        <w:rPr>
          <w:lang w:val="en-US"/>
        </w:rPr>
        <w:t>IP</w:t>
      </w:r>
      <w:r>
        <w:t>:</w:t>
      </w:r>
      <w:r w:rsidRPr="00F85DFD">
        <w:t xml:space="preserve"> 8(99)14-15</w:t>
      </w:r>
      <w:r>
        <w:t xml:space="preserve">).   </w:t>
      </w:r>
    </w:p>
    <w:p w:rsidR="00861B48" w:rsidRDefault="00861B48" w:rsidP="00861B48">
      <w:pPr>
        <w:pStyle w:val="ConsPlusNormal"/>
        <w:ind w:firstLine="709"/>
        <w:jc w:val="both"/>
      </w:pPr>
    </w:p>
    <w:p w:rsidR="00861B48" w:rsidRDefault="00861B48" w:rsidP="00861B48">
      <w:pPr>
        <w:pStyle w:val="ConsPlusNormal"/>
        <w:jc w:val="center"/>
      </w:pPr>
      <w:r>
        <w:t>__________</w:t>
      </w:r>
    </w:p>
    <w:p w:rsidR="00861B48" w:rsidRDefault="00861B48" w:rsidP="00861B48">
      <w:pPr>
        <w:pStyle w:val="ConsPlusNormal"/>
        <w:ind w:firstLine="709"/>
        <w:jc w:val="both"/>
      </w:pPr>
    </w:p>
    <w:p w:rsidR="00861B48" w:rsidRPr="00AC2358" w:rsidRDefault="00861B48" w:rsidP="00861B48">
      <w:pPr>
        <w:pStyle w:val="ConsPlusNormal"/>
        <w:jc w:val="right"/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52081F" w:rsidRPr="000F1033" w:rsidSect="00861B48">
      <w:headerReference w:type="even" r:id="rId6"/>
      <w:headerReference w:type="default" r:id="rId7"/>
      <w:footerReference w:type="default" r:id="rId8"/>
      <w:type w:val="continuous"/>
      <w:pgSz w:w="11906" w:h="16838" w:code="9"/>
      <w:pgMar w:top="567" w:right="567" w:bottom="568" w:left="1276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A3" w:rsidRDefault="005B04A3" w:rsidP="00861B48">
      <w:r>
        <w:separator/>
      </w:r>
    </w:p>
  </w:endnote>
  <w:endnote w:type="continuationSeparator" w:id="0">
    <w:p w:rsidR="005B04A3" w:rsidRDefault="005B04A3" w:rsidP="0086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26" w:rsidRDefault="005B04A3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977E26" w:rsidRPr="00525C59" w:rsidRDefault="005B04A3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A3" w:rsidRDefault="005B04A3" w:rsidP="00861B48">
      <w:r>
        <w:separator/>
      </w:r>
    </w:p>
  </w:footnote>
  <w:footnote w:type="continuationSeparator" w:id="0">
    <w:p w:rsidR="005B04A3" w:rsidRDefault="005B04A3" w:rsidP="00861B48">
      <w:r>
        <w:continuationSeparator/>
      </w:r>
    </w:p>
  </w:footnote>
  <w:footnote w:id="1">
    <w:p w:rsidR="00861B48" w:rsidRPr="001E407B" w:rsidRDefault="00861B48" w:rsidP="00861B48">
      <w:pPr>
        <w:pStyle w:val="ConsPlusNormal"/>
        <w:jc w:val="both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1E407B">
        <w:rPr>
          <w:sz w:val="22"/>
          <w:szCs w:val="22"/>
        </w:rPr>
        <w:t>екомендации носят сугубо информационно-справочный (</w:t>
      </w:r>
      <w:r>
        <w:rPr>
          <w:sz w:val="22"/>
          <w:szCs w:val="22"/>
        </w:rPr>
        <w:t>рекомендательный, а не обще</w:t>
      </w:r>
      <w:r w:rsidRPr="001E407B">
        <w:rPr>
          <w:sz w:val="22"/>
          <w:szCs w:val="22"/>
        </w:rPr>
        <w:t xml:space="preserve">обязательный) характер, не содержат новых норм и официальных разъяснений законодательства, не препятствуют непосредственному применению </w:t>
      </w:r>
      <w:r>
        <w:rPr>
          <w:sz w:val="22"/>
          <w:szCs w:val="22"/>
        </w:rPr>
        <w:t>нормативных предписаний</w:t>
      </w:r>
      <w:r w:rsidRPr="001E40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положений </w:t>
      </w:r>
      <w:r w:rsidRPr="001E407B">
        <w:rPr>
          <w:sz w:val="22"/>
          <w:szCs w:val="22"/>
        </w:rPr>
        <w:t xml:space="preserve">в значении, отличающемся от рекомендаций. </w:t>
      </w:r>
    </w:p>
  </w:footnote>
  <w:footnote w:id="2">
    <w:p w:rsidR="00861B48" w:rsidRPr="001E407B" w:rsidRDefault="00861B48" w:rsidP="00861B48">
      <w:pPr>
        <w:pStyle w:val="a6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Далее – Закон. </w:t>
      </w:r>
      <w:hyperlink r:id="rId1" w:history="1">
        <w:r w:rsidRPr="001E407B">
          <w:rPr>
            <w:rStyle w:val="ab"/>
            <w:sz w:val="22"/>
            <w:szCs w:val="22"/>
          </w:rPr>
          <w:t>https://sozd.duma.gov.ru/bill/862653-7</w:t>
        </w:r>
      </w:hyperlink>
      <w:r w:rsidRPr="001E407B">
        <w:rPr>
          <w:sz w:val="22"/>
          <w:szCs w:val="22"/>
        </w:rPr>
        <w:t xml:space="preserve">. </w:t>
      </w:r>
    </w:p>
  </w:footnote>
  <w:footnote w:id="3">
    <w:p w:rsidR="00861B48" w:rsidRPr="001E407B" w:rsidRDefault="00861B48" w:rsidP="00861B48">
      <w:pPr>
        <w:pStyle w:val="a6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Далее – Кодекс.</w:t>
      </w:r>
    </w:p>
  </w:footnote>
  <w:footnote w:id="4">
    <w:p w:rsidR="00861B48" w:rsidRPr="001E407B" w:rsidRDefault="00861B48" w:rsidP="00861B48">
      <w:pPr>
        <w:pStyle w:val="a6"/>
        <w:jc w:val="both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Далее – </w:t>
      </w:r>
      <w:r>
        <w:rPr>
          <w:sz w:val="22"/>
          <w:szCs w:val="22"/>
        </w:rPr>
        <w:t xml:space="preserve">указанный </w:t>
      </w:r>
      <w:r w:rsidRPr="001E407B">
        <w:rPr>
          <w:sz w:val="22"/>
          <w:szCs w:val="22"/>
        </w:rPr>
        <w:t>нормативный правовой акт высшего исполнительного органа государственной власти субъекта Российской Федерации именуется НПА.</w:t>
      </w:r>
    </w:p>
  </w:footnote>
  <w:footnote w:id="5">
    <w:p w:rsidR="00861B48" w:rsidRPr="001E407B" w:rsidRDefault="00861B48" w:rsidP="00861B48">
      <w:pPr>
        <w:pStyle w:val="a6"/>
        <w:jc w:val="both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Далее – категории.</w:t>
      </w:r>
    </w:p>
  </w:footnote>
  <w:footnote w:id="6">
    <w:p w:rsidR="00861B48" w:rsidRPr="001E407B" w:rsidRDefault="00861B48" w:rsidP="00861B48">
      <w:pPr>
        <w:pStyle w:val="a6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Далее – перечень</w:t>
      </w:r>
      <w:r>
        <w:rPr>
          <w:sz w:val="22"/>
          <w:szCs w:val="22"/>
        </w:rPr>
        <w:t xml:space="preserve"> налогоплательщиков</w:t>
      </w:r>
      <w:r w:rsidRPr="001E407B">
        <w:rPr>
          <w:sz w:val="22"/>
          <w:szCs w:val="22"/>
        </w:rPr>
        <w:t>.</w:t>
      </w:r>
    </w:p>
  </w:footnote>
  <w:footnote w:id="7">
    <w:p w:rsidR="00861B48" w:rsidRPr="001E407B" w:rsidRDefault="00861B48" w:rsidP="00861B48">
      <w:pPr>
        <w:pStyle w:val="a6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Далее – налоговый орган. </w:t>
      </w:r>
    </w:p>
  </w:footnote>
  <w:footnote w:id="8">
    <w:p w:rsidR="00861B48" w:rsidRPr="001E407B" w:rsidRDefault="00861B48" w:rsidP="00861B48">
      <w:pPr>
        <w:pStyle w:val="ConsPlusNormal"/>
        <w:jc w:val="both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Далее – транспортный налог, налог на имущество организаций и земельный налог именуются налоги.</w:t>
      </w:r>
    </w:p>
  </w:footnote>
  <w:footnote w:id="9">
    <w:p w:rsidR="00861B48" w:rsidRPr="001E407B" w:rsidRDefault="00861B48" w:rsidP="00861B48">
      <w:pPr>
        <w:pStyle w:val="a6"/>
        <w:rPr>
          <w:sz w:val="22"/>
          <w:szCs w:val="22"/>
        </w:rPr>
      </w:pPr>
      <w:r w:rsidRPr="001E407B">
        <w:rPr>
          <w:rStyle w:val="a8"/>
          <w:sz w:val="22"/>
          <w:szCs w:val="22"/>
        </w:rPr>
        <w:footnoteRef/>
      </w:r>
      <w:r w:rsidRPr="001E407B">
        <w:rPr>
          <w:sz w:val="22"/>
          <w:szCs w:val="22"/>
        </w:rPr>
        <w:t xml:space="preserve"> Далее – сроки.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26" w:rsidRDefault="005B04A3" w:rsidP="00ED37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977E26" w:rsidRDefault="005B04A3" w:rsidP="00ED37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DF" w:rsidRPr="009B63DF" w:rsidRDefault="005B04A3">
    <w:pPr>
      <w:pStyle w:val="a3"/>
      <w:jc w:val="center"/>
      <w:rPr>
        <w:sz w:val="24"/>
      </w:rPr>
    </w:pPr>
    <w:r w:rsidRPr="009B63DF">
      <w:rPr>
        <w:sz w:val="24"/>
      </w:rPr>
      <w:fldChar w:fldCharType="begin"/>
    </w:r>
    <w:r w:rsidRPr="009B63DF">
      <w:rPr>
        <w:sz w:val="24"/>
      </w:rPr>
      <w:instrText>PAGE   \* MERGEFORMAT</w:instrText>
    </w:r>
    <w:r w:rsidRPr="009B63DF">
      <w:rPr>
        <w:sz w:val="24"/>
      </w:rPr>
      <w:fldChar w:fldCharType="separate"/>
    </w:r>
    <w:r w:rsidR="00861B48">
      <w:rPr>
        <w:noProof/>
        <w:sz w:val="24"/>
      </w:rPr>
      <w:t>4</w:t>
    </w:r>
    <w:r w:rsidRPr="009B63DF">
      <w:rPr>
        <w:sz w:val="24"/>
      </w:rPr>
      <w:fldChar w:fldCharType="end"/>
    </w:r>
  </w:p>
  <w:p w:rsidR="009B63DF" w:rsidRDefault="005B0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BE"/>
    <w:rsid w:val="00003455"/>
    <w:rsid w:val="000F1033"/>
    <w:rsid w:val="00301E0E"/>
    <w:rsid w:val="0052081F"/>
    <w:rsid w:val="005B04A3"/>
    <w:rsid w:val="00601B54"/>
    <w:rsid w:val="007370A3"/>
    <w:rsid w:val="00861B48"/>
    <w:rsid w:val="00972C70"/>
    <w:rsid w:val="00AD18BE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3896-4D0F-434B-9B5F-C363F433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4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1B4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1B48"/>
    <w:rPr>
      <w:sz w:val="28"/>
      <w:szCs w:val="24"/>
    </w:rPr>
  </w:style>
  <w:style w:type="character" w:styleId="a5">
    <w:name w:val="page number"/>
    <w:basedOn w:val="a0"/>
    <w:rsid w:val="00861B48"/>
  </w:style>
  <w:style w:type="paragraph" w:styleId="a6">
    <w:name w:val="footnote text"/>
    <w:basedOn w:val="a"/>
    <w:link w:val="a7"/>
    <w:semiHidden/>
    <w:rsid w:val="00861B48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861B48"/>
    <w:rPr>
      <w:snapToGrid w:val="0"/>
    </w:rPr>
  </w:style>
  <w:style w:type="character" w:styleId="a8">
    <w:name w:val="footnote reference"/>
    <w:semiHidden/>
    <w:rsid w:val="00861B48"/>
    <w:rPr>
      <w:vertAlign w:val="superscript"/>
    </w:rPr>
  </w:style>
  <w:style w:type="paragraph" w:styleId="a9">
    <w:name w:val="footer"/>
    <w:basedOn w:val="a"/>
    <w:link w:val="aa"/>
    <w:rsid w:val="00861B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B48"/>
    <w:rPr>
      <w:snapToGrid w:val="0"/>
      <w:sz w:val="26"/>
    </w:rPr>
  </w:style>
  <w:style w:type="paragraph" w:customStyle="1" w:styleId="ConsPlusNormal">
    <w:name w:val="ConsPlusNormal"/>
    <w:rsid w:val="00861B48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rsid w:val="00861B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zd.duma.gov.ru/bill/862653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2023-05-04T07:21:00Z</dcterms:created>
  <dcterms:modified xsi:type="dcterms:W3CDTF">2023-05-04T07:21:00Z</dcterms:modified>
</cp:coreProperties>
</file>