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4507"/>
      </w:tblGrid>
      <w:tr w:rsidR="0024383B" w:rsidTr="0024383B">
        <w:trPr>
          <w:trHeight w:val="3534"/>
        </w:trPr>
        <w:tc>
          <w:tcPr>
            <w:tcW w:w="4643" w:type="dxa"/>
          </w:tcPr>
          <w:p w:rsidR="0024383B" w:rsidRDefault="0024383B" w:rsidP="0024383B">
            <w:pPr>
              <w:rPr>
                <w:b/>
                <w:i/>
                <w:color w:val="222A35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i/>
                <w:noProof/>
                <w:color w:val="222A35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9B8CCFB" wp14:editId="219C94AC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84455</wp:posOffset>
                  </wp:positionV>
                  <wp:extent cx="2016125" cy="2023745"/>
                  <wp:effectExtent l="0" t="0" r="317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рендбук - 00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125" cy="202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3" w:type="dxa"/>
          </w:tcPr>
          <w:p w:rsidR="0024383B" w:rsidRDefault="0024383B" w:rsidP="0024383B">
            <w:pPr>
              <w:ind w:firstLine="709"/>
              <w:jc w:val="both"/>
              <w:rPr>
                <w:i/>
                <w:color w:val="222A35"/>
                <w:sz w:val="26"/>
                <w:szCs w:val="26"/>
                <w:lang w:eastAsia="en-US"/>
              </w:rPr>
            </w:pPr>
          </w:p>
          <w:p w:rsidR="0024383B" w:rsidRDefault="0024383B" w:rsidP="0024383B">
            <w:pPr>
              <w:ind w:firstLine="709"/>
              <w:jc w:val="both"/>
              <w:rPr>
                <w:i/>
                <w:color w:val="222A35"/>
                <w:sz w:val="26"/>
                <w:szCs w:val="26"/>
                <w:lang w:eastAsia="en-US"/>
              </w:rPr>
            </w:pPr>
          </w:p>
          <w:p w:rsidR="0024383B" w:rsidRPr="00033398" w:rsidRDefault="0024383B" w:rsidP="0024383B">
            <w:pPr>
              <w:jc w:val="center"/>
              <w:rPr>
                <w:i/>
                <w:color w:val="222A35"/>
                <w:sz w:val="26"/>
                <w:szCs w:val="26"/>
                <w:lang w:eastAsia="en-US"/>
              </w:rPr>
            </w:pPr>
            <w:r w:rsidRPr="00033398">
              <w:rPr>
                <w:i/>
                <w:color w:val="222A35"/>
                <w:sz w:val="26"/>
                <w:szCs w:val="26"/>
                <w:lang w:eastAsia="en-US"/>
              </w:rPr>
              <w:t>Управление Минюста России по Забайкальскому краю напоминает, что в соответствии с требованиями федерального законодательства некоммерческие организации, зарегистрированные на территории Забайкальского края, обязаны предоставить отчетность за 2023 год</w:t>
            </w:r>
            <w:r w:rsidRPr="00033398">
              <w:rPr>
                <w:i/>
                <w:color w:val="222A35"/>
                <w:sz w:val="26"/>
                <w:szCs w:val="26"/>
                <w:lang w:eastAsia="en-US"/>
              </w:rPr>
              <w:br/>
            </w:r>
            <w:r w:rsidRPr="00033398">
              <w:rPr>
                <w:b/>
                <w:i/>
                <w:color w:val="222A35"/>
                <w:sz w:val="26"/>
                <w:szCs w:val="26"/>
                <w:lang w:eastAsia="en-US"/>
              </w:rPr>
              <w:t>до 15 апреля 2024 года.</w:t>
            </w:r>
          </w:p>
          <w:p w:rsidR="0024383B" w:rsidRDefault="0024383B" w:rsidP="0024383B">
            <w:pPr>
              <w:rPr>
                <w:b/>
                <w:i/>
                <w:color w:val="222A35"/>
                <w:sz w:val="28"/>
                <w:szCs w:val="28"/>
                <w:lang w:eastAsia="en-US"/>
              </w:rPr>
            </w:pPr>
          </w:p>
        </w:tc>
      </w:tr>
    </w:tbl>
    <w:p w:rsidR="00801EEF" w:rsidRPr="00033398" w:rsidRDefault="00801EEF" w:rsidP="00801EEF">
      <w:pPr>
        <w:ind w:firstLine="709"/>
        <w:jc w:val="both"/>
        <w:rPr>
          <w:i/>
          <w:color w:val="222A35"/>
          <w:sz w:val="26"/>
          <w:szCs w:val="26"/>
          <w:lang w:eastAsia="en-US"/>
        </w:rPr>
      </w:pPr>
    </w:p>
    <w:p w:rsidR="00801EEF" w:rsidRPr="00801EEF" w:rsidRDefault="00801EEF" w:rsidP="00801EEF">
      <w:pPr>
        <w:spacing w:line="252" w:lineRule="auto"/>
        <w:ind w:firstLine="709"/>
        <w:contextualSpacing/>
        <w:jc w:val="both"/>
        <w:rPr>
          <w:b/>
          <w:i/>
          <w:color w:val="222A35"/>
          <w:sz w:val="26"/>
          <w:szCs w:val="26"/>
          <w:lang w:eastAsia="en-US"/>
        </w:rPr>
      </w:pPr>
      <w:r w:rsidRPr="00801EEF">
        <w:rPr>
          <w:b/>
          <w:i/>
          <w:color w:val="222A35"/>
          <w:sz w:val="26"/>
          <w:szCs w:val="26"/>
          <w:lang w:eastAsia="en-US"/>
        </w:rPr>
        <w:t>Если некоммерческая организация (АНО, ассоциации (союзы), фонды, общины коренных малочисленных народов, учреждения, адвокатские образования и т.д.):</w:t>
      </w:r>
    </w:p>
    <w:p w:rsidR="00801EEF" w:rsidRPr="00801EEF" w:rsidRDefault="00801EEF" w:rsidP="00801EEF">
      <w:pPr>
        <w:ind w:firstLine="709"/>
        <w:jc w:val="both"/>
        <w:rPr>
          <w:i/>
          <w:color w:val="222A35"/>
          <w:sz w:val="26"/>
          <w:szCs w:val="26"/>
          <w:lang w:eastAsia="en-US"/>
        </w:rPr>
      </w:pPr>
      <w:r w:rsidRPr="00801EEF">
        <w:rPr>
          <w:i/>
          <w:color w:val="222A35"/>
          <w:sz w:val="26"/>
          <w:szCs w:val="26"/>
          <w:lang w:eastAsia="en-US"/>
        </w:rPr>
        <w:t>- и</w:t>
      </w:r>
      <w:r w:rsidRPr="00033398">
        <w:rPr>
          <w:i/>
          <w:color w:val="222A35"/>
          <w:sz w:val="26"/>
          <w:szCs w:val="26"/>
          <w:lang w:eastAsia="en-US"/>
        </w:rPr>
        <w:t>мела</w:t>
      </w:r>
      <w:r w:rsidRPr="00801EEF">
        <w:rPr>
          <w:i/>
          <w:color w:val="222A35"/>
          <w:sz w:val="26"/>
          <w:szCs w:val="26"/>
          <w:lang w:eastAsia="en-US"/>
        </w:rPr>
        <w:t xml:space="preserve"> поступления не более 3 млн. рублей за отчетный год;</w:t>
      </w:r>
    </w:p>
    <w:p w:rsidR="00801EEF" w:rsidRPr="00801EEF" w:rsidRDefault="00801EEF" w:rsidP="001334E5">
      <w:pPr>
        <w:ind w:firstLine="709"/>
        <w:jc w:val="both"/>
        <w:rPr>
          <w:i/>
          <w:color w:val="222A35"/>
          <w:sz w:val="26"/>
          <w:szCs w:val="26"/>
          <w:lang w:eastAsia="en-US"/>
        </w:rPr>
      </w:pPr>
      <w:r w:rsidRPr="00801EEF">
        <w:rPr>
          <w:i/>
          <w:color w:val="222A35"/>
          <w:sz w:val="26"/>
          <w:szCs w:val="26"/>
          <w:lang w:eastAsia="en-US"/>
        </w:rPr>
        <w:t xml:space="preserve">- </w:t>
      </w:r>
      <w:r w:rsidRPr="00033398">
        <w:rPr>
          <w:i/>
          <w:color w:val="222A35"/>
          <w:sz w:val="26"/>
          <w:szCs w:val="26"/>
          <w:lang w:eastAsia="en-US"/>
        </w:rPr>
        <w:t>в организации отсутствуют</w:t>
      </w:r>
      <w:r w:rsidRPr="00801EEF">
        <w:rPr>
          <w:i/>
          <w:color w:val="222A35"/>
          <w:sz w:val="26"/>
          <w:szCs w:val="26"/>
          <w:lang w:eastAsia="en-US"/>
        </w:rPr>
        <w:t xml:space="preserve"> иностранны</w:t>
      </w:r>
      <w:r w:rsidRPr="00033398">
        <w:rPr>
          <w:i/>
          <w:color w:val="222A35"/>
          <w:sz w:val="26"/>
          <w:szCs w:val="26"/>
          <w:lang w:eastAsia="en-US"/>
        </w:rPr>
        <w:t>е</w:t>
      </w:r>
      <w:r w:rsidRPr="00801EEF">
        <w:rPr>
          <w:i/>
          <w:color w:val="222A35"/>
          <w:sz w:val="26"/>
          <w:szCs w:val="26"/>
          <w:lang w:eastAsia="en-US"/>
        </w:rPr>
        <w:t xml:space="preserve"> учредител</w:t>
      </w:r>
      <w:r w:rsidRPr="00033398">
        <w:rPr>
          <w:i/>
          <w:color w:val="222A35"/>
          <w:sz w:val="26"/>
          <w:szCs w:val="26"/>
          <w:lang w:eastAsia="en-US"/>
        </w:rPr>
        <w:t>и</w:t>
      </w:r>
      <w:r w:rsidRPr="00801EEF">
        <w:rPr>
          <w:i/>
          <w:color w:val="222A35"/>
          <w:sz w:val="26"/>
          <w:szCs w:val="26"/>
          <w:lang w:eastAsia="en-US"/>
        </w:rPr>
        <w:t xml:space="preserve"> (член</w:t>
      </w:r>
      <w:r w:rsidRPr="00033398">
        <w:rPr>
          <w:i/>
          <w:color w:val="222A35"/>
          <w:sz w:val="26"/>
          <w:szCs w:val="26"/>
          <w:lang w:eastAsia="en-US"/>
        </w:rPr>
        <w:t>ы</w:t>
      </w:r>
      <w:r w:rsidRPr="00801EEF">
        <w:rPr>
          <w:i/>
          <w:color w:val="222A35"/>
          <w:sz w:val="26"/>
          <w:szCs w:val="26"/>
          <w:lang w:eastAsia="en-US"/>
        </w:rPr>
        <w:t>, участник</w:t>
      </w:r>
      <w:r w:rsidRPr="00033398">
        <w:rPr>
          <w:i/>
          <w:color w:val="222A35"/>
          <w:sz w:val="26"/>
          <w:szCs w:val="26"/>
          <w:lang w:eastAsia="en-US"/>
        </w:rPr>
        <w:t>и</w:t>
      </w:r>
      <w:r w:rsidRPr="00801EEF">
        <w:rPr>
          <w:i/>
          <w:color w:val="222A35"/>
          <w:sz w:val="26"/>
          <w:szCs w:val="26"/>
          <w:lang w:eastAsia="en-US"/>
        </w:rPr>
        <w:t>) и иностранно</w:t>
      </w:r>
      <w:r w:rsidRPr="00033398">
        <w:rPr>
          <w:i/>
          <w:color w:val="222A35"/>
          <w:sz w:val="26"/>
          <w:szCs w:val="26"/>
          <w:lang w:eastAsia="en-US"/>
        </w:rPr>
        <w:t>е</w:t>
      </w:r>
      <w:r w:rsidRPr="00801EEF">
        <w:rPr>
          <w:i/>
          <w:color w:val="222A35"/>
          <w:sz w:val="26"/>
          <w:szCs w:val="26"/>
          <w:lang w:eastAsia="en-US"/>
        </w:rPr>
        <w:t xml:space="preserve"> финансировани</w:t>
      </w:r>
      <w:r w:rsidRPr="00033398">
        <w:rPr>
          <w:i/>
          <w:color w:val="222A35"/>
          <w:sz w:val="26"/>
          <w:szCs w:val="26"/>
          <w:lang w:eastAsia="en-US"/>
        </w:rPr>
        <w:t>е</w:t>
      </w:r>
      <w:r w:rsidRPr="00801EEF">
        <w:rPr>
          <w:i/>
          <w:color w:val="222A35"/>
          <w:sz w:val="26"/>
          <w:szCs w:val="26"/>
          <w:lang w:eastAsia="en-US"/>
        </w:rPr>
        <w:t>.</w:t>
      </w:r>
    </w:p>
    <w:p w:rsidR="00801EEF" w:rsidRPr="00801EEF" w:rsidRDefault="00801EEF" w:rsidP="001334E5">
      <w:pPr>
        <w:ind w:firstLine="709"/>
        <w:jc w:val="both"/>
        <w:rPr>
          <w:i/>
          <w:color w:val="222A35"/>
          <w:sz w:val="26"/>
          <w:szCs w:val="26"/>
          <w:lang w:eastAsia="en-US"/>
        </w:rPr>
      </w:pPr>
      <w:r w:rsidRPr="00801EEF">
        <w:rPr>
          <w:i/>
          <w:color w:val="222A35"/>
          <w:sz w:val="26"/>
          <w:szCs w:val="26"/>
          <w:lang w:eastAsia="en-US"/>
        </w:rPr>
        <w:t xml:space="preserve">Такая </w:t>
      </w:r>
      <w:r w:rsidRPr="00801EEF">
        <w:rPr>
          <w:b/>
          <w:i/>
          <w:color w:val="222A35"/>
          <w:sz w:val="26"/>
          <w:szCs w:val="26"/>
          <w:lang w:eastAsia="en-US"/>
        </w:rPr>
        <w:t>НКО представляет в Управление уведомление в произвольной форме о продлении деятельности</w:t>
      </w:r>
      <w:r w:rsidRPr="00801EEF">
        <w:rPr>
          <w:i/>
          <w:color w:val="222A35"/>
          <w:sz w:val="26"/>
          <w:szCs w:val="26"/>
          <w:lang w:eastAsia="en-US"/>
        </w:rPr>
        <w:t>, отсутствии иностранных учредителей и иностранного финансирования.</w:t>
      </w:r>
    </w:p>
    <w:p w:rsidR="00801EEF" w:rsidRPr="00801EEF" w:rsidRDefault="00801EEF" w:rsidP="001334E5">
      <w:pPr>
        <w:spacing w:before="120"/>
        <w:ind w:firstLine="709"/>
        <w:jc w:val="both"/>
        <w:rPr>
          <w:i/>
          <w:color w:val="222A35"/>
          <w:sz w:val="26"/>
          <w:szCs w:val="26"/>
          <w:lang w:eastAsia="en-US"/>
        </w:rPr>
      </w:pPr>
      <w:r w:rsidRPr="00801EEF">
        <w:rPr>
          <w:b/>
          <w:i/>
          <w:color w:val="222A35"/>
          <w:sz w:val="26"/>
          <w:szCs w:val="26"/>
          <w:lang w:eastAsia="en-US"/>
        </w:rPr>
        <w:t>Если же не соблюдаются эти 2 правила</w:t>
      </w:r>
      <w:r w:rsidRPr="00801EEF">
        <w:rPr>
          <w:i/>
          <w:color w:val="222A35"/>
          <w:sz w:val="26"/>
          <w:szCs w:val="26"/>
          <w:lang w:eastAsia="en-US"/>
        </w:rPr>
        <w:t>, тогда некоммерческие организации отчитываются по формам:</w:t>
      </w:r>
    </w:p>
    <w:p w:rsidR="00801EEF" w:rsidRPr="00801EEF" w:rsidRDefault="00801EEF" w:rsidP="001334E5">
      <w:pPr>
        <w:ind w:firstLine="709"/>
        <w:jc w:val="both"/>
        <w:rPr>
          <w:i/>
          <w:color w:val="222A35"/>
          <w:sz w:val="26"/>
          <w:szCs w:val="26"/>
          <w:lang w:eastAsia="en-US"/>
        </w:rPr>
      </w:pPr>
      <w:r w:rsidRPr="00801EEF">
        <w:rPr>
          <w:b/>
          <w:i/>
          <w:color w:val="222A35"/>
          <w:sz w:val="26"/>
          <w:szCs w:val="26"/>
          <w:lang w:eastAsia="en-US"/>
        </w:rPr>
        <w:t xml:space="preserve">№ ОН0001 </w:t>
      </w:r>
      <w:r w:rsidRPr="00801EEF">
        <w:rPr>
          <w:i/>
          <w:color w:val="222A35"/>
          <w:sz w:val="26"/>
          <w:szCs w:val="26"/>
          <w:lang w:eastAsia="en-US"/>
        </w:rPr>
        <w:t>– с информацией о руководителях компании, характере и профиле деятельности;</w:t>
      </w:r>
    </w:p>
    <w:p w:rsidR="00801EEF" w:rsidRDefault="00801EEF" w:rsidP="001334E5">
      <w:pPr>
        <w:ind w:firstLine="709"/>
        <w:jc w:val="both"/>
        <w:rPr>
          <w:i/>
          <w:color w:val="222A35"/>
          <w:sz w:val="26"/>
          <w:szCs w:val="26"/>
          <w:lang w:eastAsia="en-US"/>
        </w:rPr>
      </w:pPr>
      <w:r w:rsidRPr="00801EEF">
        <w:rPr>
          <w:b/>
          <w:i/>
          <w:color w:val="222A35"/>
          <w:sz w:val="26"/>
          <w:szCs w:val="26"/>
          <w:lang w:eastAsia="en-US"/>
        </w:rPr>
        <w:t>№ ОН0002</w:t>
      </w:r>
      <w:r w:rsidRPr="00801EEF">
        <w:rPr>
          <w:i/>
          <w:color w:val="222A35"/>
          <w:sz w:val="26"/>
          <w:szCs w:val="26"/>
          <w:lang w:eastAsia="en-US"/>
        </w:rPr>
        <w:t xml:space="preserve"> – со сведениями об использовании целевых средств и активов.</w:t>
      </w:r>
    </w:p>
    <w:p w:rsidR="000E4665" w:rsidRPr="00801EEF" w:rsidRDefault="000E4665" w:rsidP="001334E5">
      <w:pPr>
        <w:ind w:firstLine="709"/>
        <w:jc w:val="both"/>
        <w:rPr>
          <w:i/>
          <w:color w:val="222A35"/>
          <w:sz w:val="26"/>
          <w:szCs w:val="26"/>
          <w:lang w:eastAsia="en-US"/>
        </w:rPr>
      </w:pPr>
    </w:p>
    <w:p w:rsidR="00801EEF" w:rsidRPr="000E4665" w:rsidRDefault="00801EEF" w:rsidP="000E4665">
      <w:pPr>
        <w:spacing w:before="120"/>
        <w:jc w:val="both"/>
        <w:rPr>
          <w:b/>
          <w:i/>
          <w:color w:val="222A35"/>
          <w:sz w:val="28"/>
          <w:szCs w:val="28"/>
          <w:u w:val="single"/>
          <w:lang w:eastAsia="en-US"/>
        </w:rPr>
      </w:pPr>
      <w:r w:rsidRPr="00801EEF">
        <w:rPr>
          <w:b/>
          <w:i/>
          <w:color w:val="222A35"/>
          <w:sz w:val="28"/>
          <w:szCs w:val="28"/>
          <w:u w:val="single"/>
          <w:lang w:eastAsia="en-US"/>
        </w:rPr>
        <w:t>ВАЖНО</w:t>
      </w:r>
      <w:r w:rsidR="00BC05C8" w:rsidRPr="000E4665">
        <w:rPr>
          <w:b/>
          <w:i/>
          <w:color w:val="222A35"/>
          <w:sz w:val="28"/>
          <w:szCs w:val="28"/>
          <w:u w:val="single"/>
          <w:lang w:eastAsia="en-US"/>
        </w:rPr>
        <w:t>!</w:t>
      </w:r>
      <w:r w:rsidRPr="00801EEF">
        <w:rPr>
          <w:b/>
          <w:i/>
          <w:color w:val="222A35"/>
          <w:sz w:val="28"/>
          <w:szCs w:val="28"/>
          <w:u w:val="single"/>
          <w:lang w:eastAsia="en-US"/>
        </w:rPr>
        <w:t xml:space="preserve"> представление одновременно отчетов по формам ОН0001, ОН</w:t>
      </w:r>
      <w:r w:rsidR="001A0F0E" w:rsidRPr="000E4665">
        <w:rPr>
          <w:b/>
          <w:i/>
          <w:color w:val="222A35"/>
          <w:sz w:val="28"/>
          <w:szCs w:val="28"/>
          <w:u w:val="single"/>
          <w:lang w:eastAsia="en-US"/>
        </w:rPr>
        <w:t>0002 и уведомления о продлении</w:t>
      </w:r>
      <w:r w:rsidRPr="00801EEF">
        <w:rPr>
          <w:b/>
          <w:i/>
          <w:color w:val="222A35"/>
          <w:sz w:val="28"/>
          <w:szCs w:val="28"/>
          <w:u w:val="single"/>
          <w:lang w:eastAsia="en-US"/>
        </w:rPr>
        <w:t xml:space="preserve"> деятельности – недопустимо!!!</w:t>
      </w:r>
    </w:p>
    <w:p w:rsidR="00033398" w:rsidRDefault="00033398" w:rsidP="00033398">
      <w:pPr>
        <w:spacing w:before="120" w:line="252" w:lineRule="auto"/>
        <w:ind w:firstLine="709"/>
        <w:contextualSpacing/>
        <w:jc w:val="both"/>
        <w:rPr>
          <w:b/>
          <w:i/>
          <w:color w:val="222A35"/>
          <w:sz w:val="26"/>
          <w:szCs w:val="26"/>
          <w:lang w:eastAsia="en-US"/>
        </w:rPr>
      </w:pPr>
    </w:p>
    <w:p w:rsidR="00801EEF" w:rsidRPr="00801EEF" w:rsidRDefault="00801EEF" w:rsidP="00033398">
      <w:pPr>
        <w:spacing w:before="120" w:line="252" w:lineRule="auto"/>
        <w:ind w:firstLine="709"/>
        <w:contextualSpacing/>
        <w:jc w:val="both"/>
        <w:rPr>
          <w:i/>
          <w:color w:val="222A35"/>
          <w:sz w:val="26"/>
          <w:szCs w:val="26"/>
          <w:lang w:eastAsia="en-US"/>
        </w:rPr>
      </w:pPr>
      <w:r w:rsidRPr="00801EEF">
        <w:rPr>
          <w:b/>
          <w:i/>
          <w:color w:val="222A35"/>
          <w:sz w:val="26"/>
          <w:szCs w:val="26"/>
          <w:lang w:eastAsia="en-US"/>
        </w:rPr>
        <w:t xml:space="preserve">Общественные объединения </w:t>
      </w:r>
      <w:r w:rsidRPr="00801EEF">
        <w:rPr>
          <w:i/>
          <w:color w:val="222A35"/>
          <w:sz w:val="26"/>
          <w:szCs w:val="26"/>
          <w:lang w:eastAsia="en-US"/>
        </w:rPr>
        <w:t>вне зависимости от состава учредителей, участников и наличия или отсутствия иностранного финансирования обязаны предоставить в Минюст:</w:t>
      </w:r>
    </w:p>
    <w:p w:rsidR="00801EEF" w:rsidRPr="00801EEF" w:rsidRDefault="00801EEF" w:rsidP="001A0F0E">
      <w:pPr>
        <w:ind w:firstLine="709"/>
        <w:contextualSpacing/>
        <w:jc w:val="both"/>
        <w:rPr>
          <w:b/>
          <w:i/>
          <w:color w:val="222A35"/>
          <w:sz w:val="26"/>
          <w:szCs w:val="26"/>
          <w:lang w:eastAsia="en-US"/>
        </w:rPr>
      </w:pPr>
      <w:r w:rsidRPr="00801EEF">
        <w:rPr>
          <w:b/>
          <w:i/>
          <w:color w:val="222A35"/>
          <w:sz w:val="26"/>
          <w:szCs w:val="26"/>
          <w:lang w:eastAsia="en-US"/>
        </w:rPr>
        <w:t>- уведомление о продолжении деятельности;</w:t>
      </w:r>
    </w:p>
    <w:p w:rsidR="00801EEF" w:rsidRPr="00801EEF" w:rsidRDefault="00801EEF" w:rsidP="001A0F0E">
      <w:pPr>
        <w:spacing w:before="120"/>
        <w:ind w:firstLine="709"/>
        <w:contextualSpacing/>
        <w:jc w:val="both"/>
        <w:rPr>
          <w:i/>
          <w:color w:val="222A35"/>
          <w:sz w:val="26"/>
          <w:szCs w:val="26"/>
          <w:lang w:eastAsia="en-US"/>
        </w:rPr>
      </w:pPr>
      <w:r w:rsidRPr="00801EEF">
        <w:rPr>
          <w:b/>
          <w:i/>
          <w:color w:val="222A35"/>
          <w:sz w:val="26"/>
          <w:szCs w:val="26"/>
          <w:lang w:eastAsia="en-US"/>
        </w:rPr>
        <w:t xml:space="preserve">- форму № ОН0003 – </w:t>
      </w:r>
      <w:r w:rsidRPr="00801EEF">
        <w:rPr>
          <w:i/>
          <w:color w:val="222A35"/>
          <w:sz w:val="26"/>
          <w:szCs w:val="26"/>
          <w:lang w:eastAsia="en-US"/>
        </w:rPr>
        <w:t>об объеме денежных средств и другого имущества.</w:t>
      </w:r>
    </w:p>
    <w:p w:rsidR="00801EEF" w:rsidRPr="00033398" w:rsidRDefault="00801EEF" w:rsidP="001A0F0E">
      <w:pPr>
        <w:spacing w:before="120"/>
        <w:ind w:firstLine="709"/>
        <w:jc w:val="both"/>
        <w:rPr>
          <w:bCs/>
          <w:i/>
          <w:color w:val="222A35"/>
          <w:sz w:val="26"/>
          <w:szCs w:val="26"/>
          <w:lang w:eastAsia="en-US"/>
        </w:rPr>
      </w:pPr>
      <w:r w:rsidRPr="00801EEF">
        <w:rPr>
          <w:b/>
          <w:bCs/>
          <w:i/>
          <w:color w:val="222A35"/>
          <w:sz w:val="26"/>
          <w:szCs w:val="26"/>
          <w:lang w:eastAsia="en-US"/>
        </w:rPr>
        <w:t xml:space="preserve">В случае использования ящиков для сбора благотворительных пожертвований некоммерческие организации </w:t>
      </w:r>
      <w:r w:rsidRPr="00801EEF">
        <w:rPr>
          <w:bCs/>
          <w:i/>
          <w:color w:val="222A35"/>
          <w:sz w:val="26"/>
          <w:szCs w:val="26"/>
          <w:lang w:eastAsia="en-US"/>
        </w:rPr>
        <w:t>(за исключением религиозных организаций) представляют отчет, соответствии с приказом Министерства юстиции Российской Федерации от 31.08.2020 № 190 «Об утверждении требований к форме и срокам опубликования отчета некоммерческой организации об использовании собранных благотворительных пожертвований».</w:t>
      </w:r>
    </w:p>
    <w:p w:rsidR="00033398" w:rsidRPr="00801EEF" w:rsidRDefault="00033398" w:rsidP="00033398">
      <w:pPr>
        <w:ind w:firstLine="709"/>
        <w:jc w:val="both"/>
        <w:rPr>
          <w:bCs/>
          <w:i/>
          <w:color w:val="222A35"/>
          <w:sz w:val="26"/>
          <w:szCs w:val="26"/>
          <w:lang w:eastAsia="en-US"/>
        </w:rPr>
      </w:pPr>
      <w:r w:rsidRPr="00801EEF">
        <w:rPr>
          <w:b/>
          <w:i/>
          <w:color w:val="222A35"/>
          <w:sz w:val="26"/>
          <w:szCs w:val="26"/>
          <w:lang w:eastAsia="en-US"/>
        </w:rPr>
        <w:t>До 31 марта ежегодно</w:t>
      </w:r>
      <w:r w:rsidRPr="00801EEF">
        <w:rPr>
          <w:i/>
          <w:color w:val="222A35"/>
          <w:sz w:val="26"/>
          <w:szCs w:val="26"/>
          <w:lang w:eastAsia="en-US"/>
        </w:rPr>
        <w:t xml:space="preserve"> </w:t>
      </w:r>
      <w:r w:rsidRPr="00801EEF">
        <w:rPr>
          <w:b/>
          <w:i/>
          <w:color w:val="222A35"/>
          <w:sz w:val="26"/>
          <w:szCs w:val="26"/>
          <w:lang w:eastAsia="en-US"/>
        </w:rPr>
        <w:t>б</w:t>
      </w:r>
      <w:r w:rsidRPr="00801EEF">
        <w:rPr>
          <w:b/>
          <w:bCs/>
          <w:i/>
          <w:color w:val="222A35"/>
          <w:sz w:val="26"/>
          <w:szCs w:val="26"/>
          <w:lang w:eastAsia="en-US"/>
        </w:rPr>
        <w:t>лаготворительные организации</w:t>
      </w:r>
      <w:r w:rsidRPr="00801EEF">
        <w:rPr>
          <w:bCs/>
          <w:i/>
          <w:color w:val="222A35"/>
          <w:sz w:val="26"/>
          <w:szCs w:val="26"/>
          <w:lang w:eastAsia="en-US"/>
        </w:rPr>
        <w:t xml:space="preserve">, представляют в Управление в письменном виде и в произвольной форме отчет в соответствии </w:t>
      </w:r>
      <w:r w:rsidRPr="00801EEF">
        <w:rPr>
          <w:bCs/>
          <w:i/>
          <w:color w:val="222A35"/>
          <w:sz w:val="26"/>
          <w:szCs w:val="26"/>
          <w:lang w:eastAsia="en-US"/>
        </w:rPr>
        <w:lastRenderedPageBreak/>
        <w:t>со статьей 19 Федерального закона от 11.08.1995 № 135-ФЗ «О благотворительной деятельности и добровольчестве (волонтерстве)».</w:t>
      </w:r>
    </w:p>
    <w:p w:rsidR="00033398" w:rsidRPr="00801EEF" w:rsidRDefault="00033398" w:rsidP="00033398">
      <w:pPr>
        <w:ind w:firstLine="709"/>
        <w:jc w:val="both"/>
        <w:rPr>
          <w:bCs/>
          <w:i/>
          <w:color w:val="222A35"/>
          <w:sz w:val="26"/>
          <w:szCs w:val="26"/>
          <w:lang w:eastAsia="en-US"/>
        </w:rPr>
      </w:pPr>
    </w:p>
    <w:p w:rsidR="00801EEF" w:rsidRPr="00801EEF" w:rsidRDefault="00801EEF" w:rsidP="00033398">
      <w:pPr>
        <w:spacing w:before="120" w:line="252" w:lineRule="auto"/>
        <w:ind w:firstLine="709"/>
        <w:contextualSpacing/>
        <w:jc w:val="both"/>
        <w:rPr>
          <w:bCs/>
          <w:i/>
          <w:color w:val="222A35"/>
          <w:sz w:val="26"/>
          <w:szCs w:val="26"/>
          <w:lang w:eastAsia="en-US"/>
        </w:rPr>
      </w:pPr>
      <w:r w:rsidRPr="00801EEF">
        <w:rPr>
          <w:b/>
          <w:i/>
          <w:sz w:val="26"/>
          <w:szCs w:val="26"/>
        </w:rPr>
        <w:t xml:space="preserve">Религиозные организации </w:t>
      </w:r>
      <w:r w:rsidRPr="00801EEF">
        <w:rPr>
          <w:i/>
          <w:sz w:val="26"/>
          <w:szCs w:val="26"/>
        </w:rPr>
        <w:t>в случае получения денежных средств или иного имущества от международных и иностранных организаций, иностранных граждан, лиц без гражданства представляют в Управление отчет по форме № ОР0001.</w:t>
      </w:r>
    </w:p>
    <w:p w:rsidR="00801EEF" w:rsidRPr="00801EEF" w:rsidRDefault="00801EEF" w:rsidP="00033398">
      <w:pPr>
        <w:spacing w:before="120"/>
        <w:ind w:firstLine="709"/>
        <w:jc w:val="both"/>
        <w:rPr>
          <w:bCs/>
          <w:i/>
          <w:color w:val="222A35"/>
          <w:sz w:val="26"/>
          <w:szCs w:val="26"/>
          <w:lang w:eastAsia="en-US"/>
        </w:rPr>
      </w:pPr>
      <w:r w:rsidRPr="00801EEF">
        <w:rPr>
          <w:bCs/>
          <w:i/>
          <w:color w:val="222A35"/>
          <w:sz w:val="26"/>
          <w:szCs w:val="26"/>
          <w:lang w:eastAsia="en-US"/>
        </w:rPr>
        <w:t xml:space="preserve">Отчеты некоммерческих </w:t>
      </w:r>
      <w:r w:rsidR="000E4665" w:rsidRPr="00801EEF">
        <w:rPr>
          <w:bCs/>
          <w:i/>
          <w:color w:val="222A35"/>
          <w:sz w:val="26"/>
          <w:szCs w:val="26"/>
          <w:lang w:eastAsia="en-US"/>
        </w:rPr>
        <w:t>организаций</w:t>
      </w:r>
      <w:r w:rsidR="00033398" w:rsidRPr="00033398">
        <w:rPr>
          <w:bCs/>
          <w:i/>
          <w:color w:val="222A35"/>
          <w:sz w:val="26"/>
          <w:szCs w:val="26"/>
          <w:lang w:eastAsia="en-US"/>
        </w:rPr>
        <w:t xml:space="preserve"> </w:t>
      </w:r>
      <w:r w:rsidR="000E4665">
        <w:rPr>
          <w:bCs/>
          <w:i/>
          <w:color w:val="222A35"/>
          <w:sz w:val="26"/>
          <w:szCs w:val="26"/>
          <w:lang w:eastAsia="en-US"/>
        </w:rPr>
        <w:t>возможно</w:t>
      </w:r>
      <w:r w:rsidRPr="00801EEF">
        <w:rPr>
          <w:bCs/>
          <w:i/>
          <w:color w:val="222A35"/>
          <w:sz w:val="26"/>
          <w:szCs w:val="26"/>
          <w:lang w:eastAsia="en-US"/>
        </w:rPr>
        <w:t xml:space="preserve"> разме</w:t>
      </w:r>
      <w:r w:rsidR="000E4665">
        <w:rPr>
          <w:bCs/>
          <w:i/>
          <w:color w:val="222A35"/>
          <w:sz w:val="26"/>
          <w:szCs w:val="26"/>
          <w:lang w:eastAsia="en-US"/>
        </w:rPr>
        <w:t>стить</w:t>
      </w:r>
      <w:r w:rsidRPr="00801EEF">
        <w:rPr>
          <w:bCs/>
          <w:i/>
          <w:color w:val="222A35"/>
          <w:sz w:val="26"/>
          <w:szCs w:val="26"/>
          <w:lang w:eastAsia="en-US"/>
        </w:rPr>
        <w:t xml:space="preserve"> на Портале о деятельности некоммерческих организаций </w:t>
      </w:r>
      <w:r w:rsidRPr="00801EEF">
        <w:rPr>
          <w:b/>
          <w:bCs/>
          <w:i/>
          <w:color w:val="222A35"/>
          <w:sz w:val="26"/>
          <w:szCs w:val="26"/>
          <w:lang w:eastAsia="en-US"/>
        </w:rPr>
        <w:t>http://unro.minjust.ru/.</w:t>
      </w:r>
    </w:p>
    <w:p w:rsidR="00801EEF" w:rsidRPr="00801EEF" w:rsidRDefault="00801EEF" w:rsidP="00033398">
      <w:pPr>
        <w:spacing w:before="120"/>
        <w:ind w:firstLine="709"/>
        <w:jc w:val="both"/>
        <w:rPr>
          <w:b/>
          <w:bCs/>
          <w:i/>
          <w:color w:val="222A35"/>
          <w:sz w:val="26"/>
          <w:szCs w:val="26"/>
          <w:lang w:eastAsia="en-US"/>
        </w:rPr>
      </w:pPr>
      <w:r w:rsidRPr="00801EEF">
        <w:rPr>
          <w:b/>
          <w:bCs/>
          <w:i/>
          <w:color w:val="222A35"/>
          <w:sz w:val="26"/>
          <w:szCs w:val="26"/>
          <w:lang w:eastAsia="en-US"/>
        </w:rPr>
        <w:t xml:space="preserve">Подробная информация о формах сроках предоставления отчетности некоммерческими организациями, а также инструкция по размещению отчетов на Портале о деятельности некоммерческих организаций, размещена на сайте Управления </w:t>
      </w:r>
      <w:hyperlink r:id="rId9" w:history="1">
        <w:r w:rsidRPr="00801EEF">
          <w:rPr>
            <w:b/>
            <w:bCs/>
            <w:i/>
            <w:color w:val="222A35"/>
            <w:sz w:val="26"/>
            <w:szCs w:val="26"/>
            <w:lang w:eastAsia="en-US"/>
          </w:rPr>
          <w:t>https://to75.minjust.gov.ru/</w:t>
        </w:r>
      </w:hyperlink>
      <w:r w:rsidRPr="00801EEF">
        <w:rPr>
          <w:b/>
          <w:bCs/>
          <w:i/>
          <w:color w:val="222A35"/>
          <w:sz w:val="26"/>
          <w:szCs w:val="26"/>
          <w:lang w:eastAsia="en-US"/>
        </w:rPr>
        <w:t xml:space="preserve"> в разделе «некоммерческие организации» подразделе «отчетность некоммерческих организаций».</w:t>
      </w:r>
    </w:p>
    <w:p w:rsidR="00801EEF" w:rsidRPr="00033398" w:rsidRDefault="00801EEF" w:rsidP="00033398">
      <w:pPr>
        <w:spacing w:before="120"/>
        <w:ind w:firstLine="709"/>
        <w:jc w:val="both"/>
        <w:rPr>
          <w:b/>
          <w:bCs/>
          <w:i/>
          <w:color w:val="222A35"/>
          <w:sz w:val="26"/>
          <w:szCs w:val="26"/>
          <w:lang w:eastAsia="en-US"/>
        </w:rPr>
      </w:pPr>
      <w:r w:rsidRPr="00801EEF">
        <w:rPr>
          <w:b/>
          <w:bCs/>
          <w:i/>
          <w:color w:val="222A35"/>
          <w:sz w:val="26"/>
          <w:szCs w:val="26"/>
          <w:lang w:eastAsia="en-US"/>
        </w:rPr>
        <w:t>Консультации специалистов можно получить по телефону</w:t>
      </w:r>
      <w:r w:rsidR="00033398" w:rsidRPr="00033398">
        <w:rPr>
          <w:b/>
          <w:bCs/>
          <w:i/>
          <w:color w:val="222A35"/>
          <w:sz w:val="26"/>
          <w:szCs w:val="26"/>
          <w:lang w:eastAsia="en-US"/>
        </w:rPr>
        <w:br/>
      </w:r>
      <w:r w:rsidRPr="00801EEF">
        <w:rPr>
          <w:b/>
          <w:bCs/>
          <w:i/>
          <w:color w:val="222A35"/>
          <w:sz w:val="26"/>
          <w:szCs w:val="26"/>
          <w:lang w:eastAsia="en-US"/>
        </w:rPr>
        <w:t>8 (3022) 217-907 (доб. 313, 314, 315, 316).</w:t>
      </w:r>
    </w:p>
    <w:p w:rsidR="00033398" w:rsidRPr="00801EEF" w:rsidRDefault="00033398" w:rsidP="00033398">
      <w:pPr>
        <w:spacing w:before="120"/>
        <w:ind w:firstLine="709"/>
        <w:jc w:val="both"/>
        <w:rPr>
          <w:b/>
          <w:bCs/>
          <w:i/>
          <w:color w:val="222A35"/>
          <w:sz w:val="26"/>
          <w:szCs w:val="26"/>
          <w:lang w:eastAsia="en-US"/>
        </w:rPr>
      </w:pPr>
    </w:p>
    <w:p w:rsidR="00801EEF" w:rsidRPr="00801EEF" w:rsidRDefault="00801EEF" w:rsidP="00801EEF">
      <w:pPr>
        <w:ind w:firstLine="709"/>
        <w:jc w:val="both"/>
        <w:rPr>
          <w:b/>
          <w:bCs/>
          <w:i/>
          <w:color w:val="222A35"/>
          <w:sz w:val="26"/>
          <w:szCs w:val="26"/>
          <w:lang w:eastAsia="en-US"/>
        </w:rPr>
      </w:pPr>
      <w:r w:rsidRPr="00801EEF">
        <w:rPr>
          <w:b/>
          <w:bCs/>
          <w:i/>
          <w:color w:val="222A35"/>
          <w:sz w:val="26"/>
          <w:szCs w:val="26"/>
          <w:lang w:eastAsia="en-US"/>
        </w:rPr>
        <w:t>Отчеты в бумажном виде возможно представить:</w:t>
      </w:r>
    </w:p>
    <w:p w:rsidR="00801EEF" w:rsidRPr="00801EEF" w:rsidRDefault="00801EEF" w:rsidP="00033398">
      <w:pPr>
        <w:ind w:firstLine="709"/>
        <w:jc w:val="both"/>
        <w:rPr>
          <w:b/>
          <w:bCs/>
          <w:i/>
          <w:color w:val="222A35"/>
          <w:sz w:val="26"/>
          <w:szCs w:val="26"/>
          <w:lang w:eastAsia="en-US"/>
        </w:rPr>
      </w:pPr>
      <w:r w:rsidRPr="00801EEF">
        <w:rPr>
          <w:b/>
          <w:bCs/>
          <w:i/>
          <w:color w:val="222A35"/>
          <w:sz w:val="26"/>
          <w:szCs w:val="26"/>
          <w:lang w:eastAsia="en-US"/>
        </w:rPr>
        <w:t>непосредственно по адресу:</w:t>
      </w:r>
      <w:r w:rsidR="00033398" w:rsidRPr="00033398">
        <w:rPr>
          <w:b/>
          <w:bCs/>
          <w:i/>
          <w:color w:val="222A35"/>
          <w:sz w:val="26"/>
          <w:szCs w:val="26"/>
          <w:lang w:eastAsia="en-US"/>
        </w:rPr>
        <w:t xml:space="preserve"> </w:t>
      </w:r>
      <w:r w:rsidRPr="00801EEF">
        <w:rPr>
          <w:b/>
          <w:bCs/>
          <w:i/>
          <w:color w:val="222A35"/>
          <w:sz w:val="26"/>
          <w:szCs w:val="26"/>
          <w:lang w:eastAsia="en-US"/>
        </w:rPr>
        <w:t>г. Чита, ул. Костюшко-Григоровича, д. 4, каб. 21, 78, 79, 88;</w:t>
      </w:r>
    </w:p>
    <w:p w:rsidR="00801EEF" w:rsidRPr="00801EEF" w:rsidRDefault="00801EEF" w:rsidP="00801EEF">
      <w:pPr>
        <w:ind w:firstLine="709"/>
        <w:jc w:val="both"/>
        <w:rPr>
          <w:b/>
          <w:bCs/>
          <w:i/>
          <w:color w:val="222A35"/>
          <w:sz w:val="26"/>
          <w:szCs w:val="26"/>
          <w:lang w:eastAsia="en-US"/>
        </w:rPr>
      </w:pPr>
      <w:r w:rsidRPr="00801EEF">
        <w:rPr>
          <w:b/>
          <w:bCs/>
          <w:i/>
          <w:color w:val="222A35"/>
          <w:sz w:val="26"/>
          <w:szCs w:val="26"/>
          <w:lang w:eastAsia="en-US"/>
        </w:rPr>
        <w:t>в виде почтового отправления с описью вложения по почтовому адресу Управления: 672002, г. Чита, ул. Бутина, д. 37, а/я 1039.</w:t>
      </w:r>
    </w:p>
    <w:p w:rsidR="00830E90" w:rsidRPr="00033398" w:rsidRDefault="00830E90" w:rsidP="00801EEF">
      <w:pPr>
        <w:jc w:val="both"/>
        <w:rPr>
          <w:sz w:val="26"/>
          <w:szCs w:val="26"/>
        </w:rPr>
      </w:pPr>
    </w:p>
    <w:p w:rsidR="00801EEF" w:rsidRPr="00033398" w:rsidRDefault="00801EEF" w:rsidP="00801EEF">
      <w:pPr>
        <w:jc w:val="both"/>
        <w:rPr>
          <w:sz w:val="26"/>
          <w:szCs w:val="26"/>
        </w:rPr>
      </w:pPr>
      <w:r w:rsidRPr="00033398">
        <w:rPr>
          <w:sz w:val="26"/>
          <w:szCs w:val="26"/>
        </w:rPr>
        <w:tab/>
      </w:r>
    </w:p>
    <w:sectPr w:rsidR="00801EEF" w:rsidRPr="00033398" w:rsidSect="00033398">
      <w:pgSz w:w="11906" w:h="16838"/>
      <w:pgMar w:top="85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5DC" w:rsidRDefault="003365DC" w:rsidP="00C87C55">
      <w:r>
        <w:separator/>
      </w:r>
    </w:p>
  </w:endnote>
  <w:endnote w:type="continuationSeparator" w:id="0">
    <w:p w:rsidR="003365DC" w:rsidRDefault="003365DC" w:rsidP="00C8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5DC" w:rsidRDefault="003365DC" w:rsidP="00C87C55">
      <w:r>
        <w:separator/>
      </w:r>
    </w:p>
  </w:footnote>
  <w:footnote w:type="continuationSeparator" w:id="0">
    <w:p w:rsidR="003365DC" w:rsidRDefault="003365DC" w:rsidP="00C87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C697E"/>
    <w:multiLevelType w:val="hybridMultilevel"/>
    <w:tmpl w:val="96A00D34"/>
    <w:lvl w:ilvl="0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B06207"/>
    <w:multiLevelType w:val="hybridMultilevel"/>
    <w:tmpl w:val="14905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7E"/>
    <w:rsid w:val="00033398"/>
    <w:rsid w:val="000769E3"/>
    <w:rsid w:val="000E4665"/>
    <w:rsid w:val="000F1C2D"/>
    <w:rsid w:val="00111C94"/>
    <w:rsid w:val="00115633"/>
    <w:rsid w:val="00124F53"/>
    <w:rsid w:val="001334E5"/>
    <w:rsid w:val="001642CE"/>
    <w:rsid w:val="00175865"/>
    <w:rsid w:val="001A0F0E"/>
    <w:rsid w:val="001D5F92"/>
    <w:rsid w:val="002148FB"/>
    <w:rsid w:val="00227A06"/>
    <w:rsid w:val="0024383B"/>
    <w:rsid w:val="00252C7B"/>
    <w:rsid w:val="00280C23"/>
    <w:rsid w:val="00296CDC"/>
    <w:rsid w:val="002C4C1D"/>
    <w:rsid w:val="00301B92"/>
    <w:rsid w:val="003036FD"/>
    <w:rsid w:val="003365DC"/>
    <w:rsid w:val="00361E57"/>
    <w:rsid w:val="00365479"/>
    <w:rsid w:val="00381282"/>
    <w:rsid w:val="00381E9D"/>
    <w:rsid w:val="003A64D1"/>
    <w:rsid w:val="003F15DE"/>
    <w:rsid w:val="00410192"/>
    <w:rsid w:val="004245D2"/>
    <w:rsid w:val="004647FC"/>
    <w:rsid w:val="0047467E"/>
    <w:rsid w:val="00474917"/>
    <w:rsid w:val="004E4BF5"/>
    <w:rsid w:val="00504911"/>
    <w:rsid w:val="0053180F"/>
    <w:rsid w:val="005C6AC1"/>
    <w:rsid w:val="005C6DAC"/>
    <w:rsid w:val="005E46EF"/>
    <w:rsid w:val="0069377F"/>
    <w:rsid w:val="006A0789"/>
    <w:rsid w:val="006A2B7E"/>
    <w:rsid w:val="006B56E9"/>
    <w:rsid w:val="006B58A5"/>
    <w:rsid w:val="006C1BA6"/>
    <w:rsid w:val="006E725A"/>
    <w:rsid w:val="006F2FFB"/>
    <w:rsid w:val="00700DF7"/>
    <w:rsid w:val="00796307"/>
    <w:rsid w:val="007A6886"/>
    <w:rsid w:val="00801EEF"/>
    <w:rsid w:val="00803F12"/>
    <w:rsid w:val="008042E4"/>
    <w:rsid w:val="0081143E"/>
    <w:rsid w:val="00830E90"/>
    <w:rsid w:val="008B59DA"/>
    <w:rsid w:val="008C2F1D"/>
    <w:rsid w:val="008E2264"/>
    <w:rsid w:val="00972A6E"/>
    <w:rsid w:val="009D022B"/>
    <w:rsid w:val="00A1762C"/>
    <w:rsid w:val="00A52DB0"/>
    <w:rsid w:val="00A53C8F"/>
    <w:rsid w:val="00AE76D9"/>
    <w:rsid w:val="00B0414A"/>
    <w:rsid w:val="00B269C5"/>
    <w:rsid w:val="00B46B82"/>
    <w:rsid w:val="00B61EB4"/>
    <w:rsid w:val="00BB210F"/>
    <w:rsid w:val="00BC05C8"/>
    <w:rsid w:val="00C24A61"/>
    <w:rsid w:val="00C306ED"/>
    <w:rsid w:val="00C51326"/>
    <w:rsid w:val="00C87C55"/>
    <w:rsid w:val="00CA3806"/>
    <w:rsid w:val="00D07107"/>
    <w:rsid w:val="00D22E0B"/>
    <w:rsid w:val="00D47C5A"/>
    <w:rsid w:val="00D649EB"/>
    <w:rsid w:val="00D70FFB"/>
    <w:rsid w:val="00DC7F25"/>
    <w:rsid w:val="00E44B23"/>
    <w:rsid w:val="00EB5A48"/>
    <w:rsid w:val="00F25559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CD437-88EA-4375-B33D-27857AB7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4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нак Знак Знак Знак"/>
    <w:basedOn w:val="a0"/>
    <w:semiHidden/>
    <w:rsid w:val="0047467E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lang w:val="en-US" w:eastAsia="en-US"/>
    </w:rPr>
  </w:style>
  <w:style w:type="table" w:styleId="a4">
    <w:name w:val="Table Grid"/>
    <w:basedOn w:val="a2"/>
    <w:uiPriority w:val="59"/>
    <w:rsid w:val="005E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75865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7A6886"/>
    <w:rPr>
      <w:color w:val="0000FF" w:themeColor="hyperlink"/>
      <w:u w:val="single"/>
    </w:rPr>
  </w:style>
  <w:style w:type="paragraph" w:styleId="a7">
    <w:name w:val="endnote text"/>
    <w:basedOn w:val="a0"/>
    <w:link w:val="a8"/>
    <w:uiPriority w:val="99"/>
    <w:semiHidden/>
    <w:unhideWhenUsed/>
    <w:rsid w:val="00C87C55"/>
  </w:style>
  <w:style w:type="character" w:customStyle="1" w:styleId="a8">
    <w:name w:val="Текст концевой сноски Знак"/>
    <w:basedOn w:val="a1"/>
    <w:link w:val="a7"/>
    <w:uiPriority w:val="99"/>
    <w:semiHidden/>
    <w:rsid w:val="00C87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1"/>
    <w:uiPriority w:val="99"/>
    <w:semiHidden/>
    <w:unhideWhenUsed/>
    <w:rsid w:val="00C87C55"/>
    <w:rPr>
      <w:vertAlign w:val="superscript"/>
    </w:rPr>
  </w:style>
  <w:style w:type="paragraph" w:styleId="aa">
    <w:name w:val="footnote text"/>
    <w:basedOn w:val="a0"/>
    <w:link w:val="ab"/>
    <w:uiPriority w:val="99"/>
    <w:semiHidden/>
    <w:unhideWhenUsed/>
    <w:rsid w:val="00B61EB4"/>
  </w:style>
  <w:style w:type="character" w:customStyle="1" w:styleId="ab">
    <w:name w:val="Текст сноски Знак"/>
    <w:basedOn w:val="a1"/>
    <w:link w:val="aa"/>
    <w:uiPriority w:val="99"/>
    <w:semiHidden/>
    <w:rsid w:val="00B61E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1"/>
    <w:uiPriority w:val="99"/>
    <w:semiHidden/>
    <w:unhideWhenUsed/>
    <w:rsid w:val="00B61EB4"/>
    <w:rPr>
      <w:vertAlign w:val="superscript"/>
    </w:rPr>
  </w:style>
  <w:style w:type="paragraph" w:styleId="ad">
    <w:name w:val="Balloon Text"/>
    <w:basedOn w:val="a0"/>
    <w:link w:val="ae"/>
    <w:uiPriority w:val="99"/>
    <w:semiHidden/>
    <w:unhideWhenUsed/>
    <w:rsid w:val="0003339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03339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0"/>
    <w:link w:val="af0"/>
    <w:uiPriority w:val="99"/>
    <w:unhideWhenUsed/>
    <w:rsid w:val="0024383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2438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2"/>
    <w:uiPriority w:val="99"/>
    <w:unhideWhenUsed/>
    <w:rsid w:val="0024383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2438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75.minjus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1A79-9789-472A-9A41-A63FCBFF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Тимофеева</dc:creator>
  <cp:lastModifiedBy>ПК</cp:lastModifiedBy>
  <cp:revision>2</cp:revision>
  <cp:lastPrinted>2024-02-13T02:27:00Z</cp:lastPrinted>
  <dcterms:created xsi:type="dcterms:W3CDTF">2024-04-01T05:56:00Z</dcterms:created>
  <dcterms:modified xsi:type="dcterms:W3CDTF">2024-04-01T05:56:00Z</dcterms:modified>
</cp:coreProperties>
</file>