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33" w:rsidRPr="008360CD" w:rsidRDefault="00056F3E" w:rsidP="00D210EA">
      <w:pPr>
        <w:jc w:val="center"/>
        <w:rPr>
          <w:rFonts w:ascii="Times New Roman" w:hAnsi="Times New Roman" w:cs="Times New Roman"/>
          <w:i/>
          <w:color w:val="215868" w:themeColor="accent5" w:themeShade="80"/>
          <w:sz w:val="144"/>
          <w:szCs w:val="144"/>
          <w:shd w:val="clear" w:color="auto" w:fill="FFFFFF"/>
        </w:rPr>
      </w:pPr>
      <w:r w:rsidRPr="008360CD">
        <w:rPr>
          <w:rFonts w:ascii="Times New Roman" w:hAnsi="Times New Roman" w:cs="Times New Roman"/>
          <w:i/>
          <w:color w:val="215868" w:themeColor="accent5" w:themeShade="80"/>
          <w:sz w:val="144"/>
          <w:szCs w:val="144"/>
          <w:shd w:val="clear" w:color="auto" w:fill="FFFFFF"/>
        </w:rPr>
        <w:t>Бюджет для граждан</w:t>
      </w:r>
    </w:p>
    <w:p w:rsidR="0048192E" w:rsidRPr="008360CD" w:rsidRDefault="0048192E" w:rsidP="00D210EA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</w:pPr>
    </w:p>
    <w:p w:rsidR="00F22133" w:rsidRPr="008360CD" w:rsidRDefault="009149C6" w:rsidP="00D210EA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</w:pPr>
      <w:r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На основе о</w:t>
      </w:r>
      <w:r w:rsidR="00056F3E"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тчёт</w:t>
      </w:r>
      <w:r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а</w:t>
      </w:r>
      <w:r w:rsidR="00056F3E"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 xml:space="preserve"> об ис</w:t>
      </w:r>
      <w:r w:rsidR="0021662E"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>полнении бюджета за 2021</w:t>
      </w:r>
      <w:r w:rsidRPr="008360CD">
        <w:rPr>
          <w:rFonts w:ascii="Times New Roman" w:hAnsi="Times New Roman" w:cs="Times New Roman"/>
          <w:b/>
          <w:i/>
          <w:color w:val="215868" w:themeColor="accent5" w:themeShade="80"/>
          <w:sz w:val="72"/>
          <w:szCs w:val="72"/>
        </w:rPr>
        <w:t xml:space="preserve"> год</w:t>
      </w:r>
    </w:p>
    <w:p w:rsidR="00F22133" w:rsidRPr="008360CD" w:rsidRDefault="00F22133" w:rsidP="00D210EA">
      <w:pPr>
        <w:jc w:val="center"/>
        <w:rPr>
          <w:color w:val="215868" w:themeColor="accent5" w:themeShade="80"/>
        </w:rPr>
      </w:pPr>
    </w:p>
    <w:p w:rsidR="0048192E" w:rsidRPr="008360CD" w:rsidRDefault="0048192E" w:rsidP="00D210EA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</w:pPr>
    </w:p>
    <w:p w:rsidR="00F22133" w:rsidRPr="008360CD" w:rsidRDefault="009149C6" w:rsidP="00992838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</w:pPr>
      <w:r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 xml:space="preserve">Решение </w:t>
      </w:r>
      <w:r w:rsidR="000D37AE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Думы городского округа «</w:t>
      </w:r>
      <w:r w:rsidR="00992838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Город Петровск-З</w:t>
      </w:r>
      <w:r w:rsidR="000D37AE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абайкал</w:t>
      </w:r>
      <w:r w:rsidR="00992838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ь</w:t>
      </w:r>
      <w:r w:rsidR="000D37AE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ский»</w:t>
      </w:r>
      <w:r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 xml:space="preserve"> от </w:t>
      </w:r>
      <w:r w:rsidR="00727DFA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 xml:space="preserve">29 апреля 2022 </w:t>
      </w:r>
      <w:r w:rsidR="00992838" w:rsidRPr="008360CD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>года №</w:t>
      </w:r>
      <w:r w:rsidR="00727DFA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56"/>
        </w:rPr>
        <w:t xml:space="preserve"> 18</w:t>
      </w:r>
    </w:p>
    <w:p w:rsidR="00F22133" w:rsidRPr="00E55ED9" w:rsidRDefault="00F22133">
      <w:pPr>
        <w:rPr>
          <w:sz w:val="48"/>
          <w:szCs w:val="48"/>
        </w:rPr>
      </w:pPr>
    </w:p>
    <w:p w:rsidR="00F22133" w:rsidRDefault="00F22133"/>
    <w:p w:rsidR="0096120C" w:rsidRPr="008360CD" w:rsidRDefault="0096120C" w:rsidP="0096120C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</w:rPr>
      </w:pPr>
      <w:r w:rsidRPr="008360CD">
        <w:rPr>
          <w:rFonts w:ascii="Times New Roman" w:hAnsi="Times New Roman" w:cs="Times New Roman"/>
          <w:b/>
          <w:i/>
          <w:color w:val="E36C0A" w:themeColor="accent6" w:themeShade="BF"/>
          <w:sz w:val="52"/>
          <w:szCs w:val="52"/>
          <w:shd w:val="clear" w:color="auto" w:fill="FFFFFF"/>
        </w:rPr>
        <w:lastRenderedPageBreak/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705356" w:rsidRPr="008360CD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48"/>
          <w:szCs w:val="48"/>
        </w:rPr>
      </w:pPr>
    </w:p>
    <w:p w:rsidR="00705356" w:rsidRPr="008360CD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48"/>
          <w:szCs w:val="48"/>
        </w:rPr>
      </w:pPr>
    </w:p>
    <w:p w:rsidR="0096120C" w:rsidRPr="008360CD" w:rsidRDefault="00705356" w:rsidP="00705356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both"/>
        <w:rPr>
          <w:color w:val="E36C0A" w:themeColor="accent6" w:themeShade="BF"/>
          <w:sz w:val="52"/>
          <w:szCs w:val="52"/>
        </w:rPr>
      </w:pPr>
      <w:r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Следуя сложившейся практики в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целях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реализации принципа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>прозрачности,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8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открытости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бюджета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2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и</w:t>
      </w:r>
      <w:r w:rsidR="00515662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информирования жителей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города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о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расходовании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средств бюджета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разработан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«Бюджет для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граждан»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по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исполнению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за 20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21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год. Данная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информация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позволит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3"/>
          <w:kern w:val="24"/>
          <w:sz w:val="52"/>
          <w:szCs w:val="52"/>
        </w:rPr>
        <w:t xml:space="preserve">гражданам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составить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представление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об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исполнении бюджета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городского округа «Город Петровск-Забайкальский»</w:t>
      </w:r>
      <w:r w:rsidR="00A51D59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на основании отчёта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, </w:t>
      </w:r>
      <w:r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принятого Министерством финансов Забайкальского края.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Мы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надеемся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на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заинтересованное внимание жителей</w:t>
      </w:r>
      <w:r w:rsidR="008360CD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города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>к</w:t>
      </w:r>
      <w:r w:rsidR="00A51D59" w:rsidRPr="008360CD">
        <w:rPr>
          <w:rFonts w:ascii="Arial" w:eastAsiaTheme="minorEastAsia" w:hAnsi="Arial" w:cs="Arial"/>
          <w:i/>
          <w:iCs/>
          <w:color w:val="E36C0A" w:themeColor="accent6" w:themeShade="BF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2"/>
          <w:kern w:val="24"/>
          <w:sz w:val="52"/>
          <w:szCs w:val="52"/>
        </w:rPr>
        <w:t xml:space="preserve">процессу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исполнения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8"/>
          <w:kern w:val="24"/>
          <w:sz w:val="52"/>
          <w:szCs w:val="52"/>
        </w:rPr>
        <w:t xml:space="preserve"> </w:t>
      </w:r>
      <w:r w:rsidR="0096120C" w:rsidRPr="008360CD">
        <w:rPr>
          <w:rFonts w:ascii="Arial" w:eastAsiaTheme="minorEastAsia" w:hAnsi="Arial" w:cs="Arial"/>
          <w:i/>
          <w:iCs/>
          <w:color w:val="E36C0A" w:themeColor="accent6" w:themeShade="BF"/>
          <w:spacing w:val="-1"/>
          <w:kern w:val="24"/>
          <w:sz w:val="52"/>
          <w:szCs w:val="52"/>
        </w:rPr>
        <w:t>бюджета.</w:t>
      </w:r>
    </w:p>
    <w:p w:rsidR="0096120C" w:rsidRPr="00705356" w:rsidRDefault="0096120C" w:rsidP="00705356">
      <w:pPr>
        <w:jc w:val="both"/>
        <w:rPr>
          <w:i/>
          <w:sz w:val="52"/>
          <w:szCs w:val="52"/>
        </w:rPr>
      </w:pPr>
    </w:p>
    <w:p w:rsidR="0096120C" w:rsidRDefault="0096120C">
      <w:pPr>
        <w:rPr>
          <w:i/>
        </w:rPr>
      </w:pPr>
    </w:p>
    <w:p w:rsidR="0096120C" w:rsidRDefault="0096120C">
      <w:pPr>
        <w:rPr>
          <w:i/>
        </w:rPr>
      </w:pPr>
    </w:p>
    <w:p w:rsidR="008A5E05" w:rsidRPr="008360CD" w:rsidRDefault="008A5E05" w:rsidP="008A5E0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72"/>
          <w:szCs w:val="72"/>
          <w:lang w:eastAsia="ru-RU"/>
        </w:rPr>
      </w:pPr>
      <w:r w:rsidRPr="008360CD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72"/>
          <w:szCs w:val="72"/>
          <w:lang w:eastAsia="ru-RU"/>
        </w:rPr>
        <w:t xml:space="preserve">Принцип прозрачности (открытости) означает: </w:t>
      </w:r>
    </w:p>
    <w:p w:rsidR="008A5E05" w:rsidRPr="008360CD" w:rsidRDefault="008A5E05" w:rsidP="008A5E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72"/>
          <w:szCs w:val="72"/>
          <w:lang w:eastAsia="ru-RU"/>
        </w:rPr>
      </w:pP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обязательное опубликование в средствах массовой информации утвержденных бюджетов и отчетов об их исполнении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обязательную открытость для общества и средств массовой информации проектов бюджетов, внесенных в законодательные органы государственной муниципальной власти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обеспечение доступа к информации, размещенной в информационно-коммуникационной сети «Интернет» на едином портале бюджетной системы Российской Федерации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;</w:t>
      </w:r>
    </w:p>
    <w:p w:rsidR="008A5E05" w:rsidRPr="008360CD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eastAsia="ru-RU"/>
        </w:rPr>
      </w:pPr>
      <w:r w:rsidRP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текущего, очередного финансового года и планового периода</w:t>
      </w:r>
      <w:r w:rsidR="008360CD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40"/>
          <w:szCs w:val="40"/>
          <w:lang w:eastAsia="ru-RU"/>
        </w:rPr>
        <w:t>.</w:t>
      </w:r>
    </w:p>
    <w:p w:rsidR="008A5E05" w:rsidRPr="008360CD" w:rsidRDefault="008A5E05" w:rsidP="008A5E05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</w:pPr>
    </w:p>
    <w:p w:rsidR="008A5E05" w:rsidRPr="008360CD" w:rsidRDefault="003852FE" w:rsidP="008A5E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>Статья 36 Бюджетного</w:t>
      </w:r>
      <w:r w:rsidR="008A5E05" w:rsidRPr="008360CD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 xml:space="preserve"> кодекс</w:t>
      </w:r>
      <w:r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>а</w:t>
      </w:r>
      <w:r w:rsidR="008A5E05" w:rsidRPr="008360CD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40"/>
          <w:szCs w:val="40"/>
          <w:lang w:eastAsia="ru-RU"/>
        </w:rPr>
        <w:t xml:space="preserve"> Российской Федерации</w:t>
      </w:r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</w:p>
    <w:p w:rsidR="0096120C" w:rsidRPr="00CD66B1" w:rsidRDefault="00C35528" w:rsidP="00CD66B1">
      <w:pPr>
        <w:jc w:val="center"/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</w:pP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lastRenderedPageBreak/>
        <w:t>Основные параметры исполнения</w:t>
      </w:r>
      <w:r w:rsidR="008757C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консолидированного</w:t>
      </w:r>
      <w:r w:rsidR="003852F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бюджета городского округа</w:t>
      </w:r>
      <w:r w:rsid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 xml:space="preserve"> </w:t>
      </w:r>
      <w:r w:rsidR="003852F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>«Город Петровск-Забайкальский»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 xml:space="preserve"> з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28"/>
          <w:szCs w:val="28"/>
        </w:rPr>
        <w:t xml:space="preserve">а 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20</w:t>
      </w:r>
      <w:r w:rsidR="008757C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2</w:t>
      </w:r>
      <w:r w:rsidR="003852FE"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z w:val="28"/>
          <w:szCs w:val="28"/>
        </w:rPr>
        <w:t>1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28"/>
          <w:szCs w:val="28"/>
        </w:rPr>
        <w:t xml:space="preserve"> </w:t>
      </w:r>
      <w:r w:rsidRPr="00CD66B1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28"/>
          <w:szCs w:val="28"/>
        </w:rPr>
        <w:t>год.</w:t>
      </w:r>
    </w:p>
    <w:tbl>
      <w:tblPr>
        <w:tblW w:w="23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7263"/>
        <w:gridCol w:w="141"/>
        <w:gridCol w:w="2268"/>
        <w:gridCol w:w="1276"/>
        <w:gridCol w:w="2267"/>
        <w:gridCol w:w="852"/>
        <w:gridCol w:w="1388"/>
        <w:gridCol w:w="454"/>
        <w:gridCol w:w="990"/>
        <w:gridCol w:w="853"/>
        <w:gridCol w:w="1985"/>
        <w:gridCol w:w="98"/>
        <w:gridCol w:w="2240"/>
        <w:gridCol w:w="853"/>
      </w:tblGrid>
      <w:tr w:rsidR="00F901FF" w:rsidRPr="008757CE" w:rsidTr="00CD66B1">
        <w:trPr>
          <w:gridAfter w:val="1"/>
          <w:wAfter w:w="853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C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0E4F25" w:rsidP="003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38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2FE" w:rsidRPr="00CD66B1" w:rsidTr="00CD66B1">
        <w:trPr>
          <w:gridAfter w:val="8"/>
          <w:wAfter w:w="8861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Всего консолидированный бюджет</w:t>
            </w:r>
          </w:p>
        </w:tc>
      </w:tr>
      <w:tr w:rsidR="003852FE" w:rsidRPr="00CD66B1" w:rsidTr="00CD66B1">
        <w:trPr>
          <w:gridAfter w:val="8"/>
          <w:wAfter w:w="8861" w:type="dxa"/>
          <w:trHeight w:val="2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Уточненные бюджетные назначения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Исполнено</w:t>
            </w:r>
          </w:p>
        </w:tc>
      </w:tr>
      <w:tr w:rsidR="003852FE" w:rsidRPr="00CD66B1" w:rsidTr="00CD66B1">
        <w:trPr>
          <w:gridAfter w:val="8"/>
          <w:wAfter w:w="8861" w:type="dxa"/>
          <w:trHeight w:val="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2FE" w:rsidRPr="00CD66B1" w:rsidTr="00CD66B1">
        <w:trPr>
          <w:gridAfter w:val="8"/>
          <w:wAfter w:w="8861" w:type="dxa"/>
          <w:trHeight w:val="3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Доходы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всего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: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38115C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582 590,1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38115C" w:rsidP="00DD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575 25</w:t>
            </w:r>
            <w:r w:rsidR="00D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D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52FE" w:rsidRPr="00CD66B1" w:rsidTr="00CD66B1">
        <w:trPr>
          <w:gridAfter w:val="8"/>
          <w:wAfter w:w="8861" w:type="dxa"/>
          <w:trHeight w:val="24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38115C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159 368,0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38115C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155 187,0</w:t>
            </w:r>
          </w:p>
        </w:tc>
      </w:tr>
      <w:tr w:rsidR="003852FE" w:rsidRPr="00CD66B1" w:rsidTr="00CD66B1">
        <w:trPr>
          <w:gridAfter w:val="8"/>
          <w:wAfter w:w="8861" w:type="dxa"/>
          <w:trHeight w:val="2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0E4F25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153 185,9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149 302,1</w:t>
            </w:r>
          </w:p>
        </w:tc>
      </w:tr>
      <w:tr w:rsidR="003852FE" w:rsidRPr="00CD66B1" w:rsidTr="00CD66B1">
        <w:trPr>
          <w:gridAfter w:val="8"/>
          <w:wAfter w:w="8861" w:type="dxa"/>
          <w:trHeight w:val="3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6 182,1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5 884,9</w:t>
            </w:r>
          </w:p>
        </w:tc>
      </w:tr>
      <w:tr w:rsidR="003852FE" w:rsidRPr="00CD66B1" w:rsidTr="00CD66B1">
        <w:trPr>
          <w:gridAfter w:val="8"/>
          <w:wAfter w:w="886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423 222,1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420 067,0</w:t>
            </w:r>
          </w:p>
        </w:tc>
      </w:tr>
      <w:tr w:rsidR="003852FE" w:rsidRPr="00CD66B1" w:rsidTr="00CD66B1">
        <w:trPr>
          <w:gridAfter w:val="8"/>
          <w:wAfter w:w="8861" w:type="dxa"/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FE" w:rsidRPr="00CD66B1" w:rsidRDefault="003852F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FE" w:rsidRPr="00CD66B1" w:rsidTr="00CD66B1">
        <w:trPr>
          <w:gridAfter w:val="8"/>
          <w:wAfter w:w="8861" w:type="dxa"/>
          <w:trHeight w:val="2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Расходы</w:t>
            </w:r>
            <w:r w:rsidR="00CD66B1" w:rsidRPr="00CD66B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576 219,7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562 566,5</w:t>
            </w:r>
          </w:p>
        </w:tc>
      </w:tr>
      <w:tr w:rsidR="003852FE" w:rsidRPr="00CD66B1" w:rsidTr="00CD66B1">
        <w:trPr>
          <w:gridAfter w:val="8"/>
          <w:wAfter w:w="8861" w:type="dxa"/>
          <w:trHeight w:val="2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55 352,5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52 858,3</w:t>
            </w:r>
          </w:p>
        </w:tc>
      </w:tr>
      <w:tr w:rsidR="003852FE" w:rsidRPr="00CD66B1" w:rsidTr="00CD66B1">
        <w:trPr>
          <w:gridAfter w:val="8"/>
          <w:wAfter w:w="8861" w:type="dxa"/>
          <w:trHeight w:val="4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1 902,8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1 884,1</w:t>
            </w:r>
          </w:p>
        </w:tc>
      </w:tr>
      <w:tr w:rsidR="003852FE" w:rsidRPr="00CD66B1" w:rsidTr="00CD66B1">
        <w:trPr>
          <w:gridAfter w:val="8"/>
          <w:wAfter w:w="8861" w:type="dxa"/>
          <w:trHeight w:val="2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48 386,1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46 644,5</w:t>
            </w:r>
          </w:p>
        </w:tc>
      </w:tr>
      <w:tr w:rsidR="003852FE" w:rsidRPr="00CD66B1" w:rsidTr="00CD66B1">
        <w:trPr>
          <w:gridAfter w:val="8"/>
          <w:wAfter w:w="8861" w:type="dxa"/>
          <w:trHeight w:val="5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35 693,4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33 931,6</w:t>
            </w:r>
          </w:p>
        </w:tc>
      </w:tr>
      <w:tr w:rsidR="003852FE" w:rsidRPr="00CD66B1" w:rsidTr="00CD66B1">
        <w:trPr>
          <w:gridAfter w:val="8"/>
          <w:wAfter w:w="8861" w:type="dxa"/>
          <w:trHeight w:val="4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2 380,0</w:t>
            </w:r>
          </w:p>
        </w:tc>
      </w:tr>
      <w:tr w:rsidR="003852FE" w:rsidRPr="00CD66B1" w:rsidTr="00CD66B1">
        <w:trPr>
          <w:gridAfter w:val="8"/>
          <w:wAfter w:w="8861" w:type="dxa"/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385 594,9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379 006,3</w:t>
            </w:r>
          </w:p>
        </w:tc>
      </w:tr>
      <w:tr w:rsidR="003852FE" w:rsidRPr="00CD66B1" w:rsidTr="00CD66B1">
        <w:trPr>
          <w:gridAfter w:val="8"/>
          <w:wAfter w:w="8861" w:type="dxa"/>
          <w:trHeight w:val="25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31 560,4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30 661,7</w:t>
            </w:r>
          </w:p>
        </w:tc>
      </w:tr>
      <w:tr w:rsidR="003852FE" w:rsidRPr="00CD66B1" w:rsidTr="00CD66B1">
        <w:trPr>
          <w:gridAfter w:val="8"/>
          <w:wAfter w:w="8861" w:type="dxa"/>
          <w:trHeight w:val="3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</w:tr>
      <w:tr w:rsidR="003852FE" w:rsidRPr="00CD66B1" w:rsidTr="00CD66B1">
        <w:trPr>
          <w:gridAfter w:val="8"/>
          <w:wAfter w:w="8861" w:type="dxa"/>
          <w:trHeight w:val="14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14 004,5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13 862,0</w:t>
            </w:r>
          </w:p>
        </w:tc>
      </w:tr>
      <w:tr w:rsidR="003852FE" w:rsidRPr="00CD66B1" w:rsidTr="00CD66B1">
        <w:trPr>
          <w:gridAfter w:val="8"/>
          <w:wAfter w:w="8861" w:type="dxa"/>
          <w:trHeight w:val="27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3852FE" w:rsidRPr="00CD66B1" w:rsidTr="00CD66B1">
        <w:trPr>
          <w:gridAfter w:val="8"/>
          <w:wAfter w:w="8861" w:type="dxa"/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3852FE" w:rsidRPr="00CD66B1" w:rsidTr="00CD66B1">
        <w:trPr>
          <w:gridAfter w:val="8"/>
          <w:wAfter w:w="8861" w:type="dxa"/>
          <w:trHeight w:val="3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FE" w:rsidRPr="00CD66B1" w:rsidRDefault="003852FE" w:rsidP="00875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E" w:rsidRPr="00CD66B1" w:rsidRDefault="003852F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</w:t>
            </w:r>
            <w:r w:rsidR="00CD66B1"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(дефицит -, </w:t>
            </w: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+)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0E4F25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6 370,4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FE" w:rsidRPr="00CD66B1" w:rsidRDefault="00DD2C6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12 687,5</w:t>
            </w:r>
          </w:p>
        </w:tc>
      </w:tr>
      <w:tr w:rsidR="008757CE" w:rsidRPr="008757CE" w:rsidTr="00CD66B1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A5E05" w:rsidRDefault="00CD66B1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Пояс</w:t>
      </w:r>
      <w:r w:rsidR="008A5E05"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нительная записка</w:t>
      </w:r>
    </w:p>
    <w:p w:rsidR="007B039E" w:rsidRPr="008A5E05" w:rsidRDefault="007B039E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 xml:space="preserve">по исполнению бюджета </w:t>
      </w:r>
      <w:r w:rsidR="0038115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городского округа</w:t>
      </w:r>
    </w:p>
    <w:p w:rsidR="0038115C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 доходн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ая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част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ь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бюджета </w:t>
      </w:r>
      <w:r w:rsidR="0038115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городского округа </w:t>
      </w:r>
    </w:p>
    <w:p w:rsidR="008A5E05" w:rsidRPr="008A5E05" w:rsidRDefault="0038115C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«Город Петровск-Забайкальский»</w:t>
      </w:r>
      <w:r w:rsidR="008A5E05"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</w:t>
      </w:r>
    </w:p>
    <w:p w:rsidR="008A5E05" w:rsidRPr="008A5E05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за 202</w:t>
      </w:r>
      <w:r w:rsidR="00DD2C6E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1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год</w:t>
      </w:r>
    </w:p>
    <w:p w:rsidR="00452C2B" w:rsidRDefault="008A5E05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</w:t>
      </w:r>
    </w:p>
    <w:p w:rsidR="008A5E05" w:rsidRPr="008A5E05" w:rsidRDefault="00452C2B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B4690C" wp14:editId="39DC14AF">
                <wp:extent cx="300990" cy="300990"/>
                <wp:effectExtent l="0" t="0" r="0" b="0"/>
                <wp:docPr id="4" name="AutoShape 1" descr="F:\%D0%9D%D0%BE%D0%B2%D0%B0%D1%8F %D0%BF%D0%B0%D0%BF%D0%BA%D0%B0\%D0%BC%D0%B5%D1%81%D1%82%D0%BD%D1%8B%D0%B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8C8F4"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OLGua/sAgAAMAY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8A5E05"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5E05" w:rsidRPr="00EE6A2C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Доходы бюджета 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городского округа «Город Петровск-Забайкальский» за 2021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 составили 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575 25</w:t>
      </w:r>
      <w:r w:rsidR="00DD2C6E">
        <w:rPr>
          <w:rFonts w:ascii="Times New Roman" w:eastAsia="Times New Roman" w:hAnsi="Times New Roman" w:cs="Times New Roman"/>
          <w:sz w:val="52"/>
          <w:szCs w:val="52"/>
          <w:lang w:eastAsia="ru-RU"/>
        </w:rPr>
        <w:t>3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,</w:t>
      </w:r>
      <w:r w:rsidR="00DD2C6E">
        <w:rPr>
          <w:rFonts w:ascii="Times New Roman" w:eastAsia="Times New Roman" w:hAnsi="Times New Roman" w:cs="Times New Roman"/>
          <w:sz w:val="52"/>
          <w:szCs w:val="52"/>
          <w:lang w:eastAsia="ru-RU"/>
        </w:rPr>
        <w:t>9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тыс. рублей, или 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98,74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% от утвержденных бюджетных назначений (</w:t>
      </w:r>
      <w:r w:rsidR="0038115C">
        <w:rPr>
          <w:rFonts w:ascii="Times New Roman" w:eastAsia="Times New Roman" w:hAnsi="Times New Roman" w:cs="Times New Roman"/>
          <w:sz w:val="52"/>
          <w:szCs w:val="52"/>
          <w:lang w:eastAsia="ru-RU"/>
        </w:rPr>
        <w:t>582 590,1</w:t>
      </w: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тыс. рублей).</w:t>
      </w:r>
    </w:p>
    <w:p w:rsidR="00EE6A2C" w:rsidRDefault="00EE6A2C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C:\Users\Сидельникова ТИ\Downloads\37fb1048a98268df208d39e51accd86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дельникова ТИ\Downloads\37fb1048a98268df208d39e51accd86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05" w:rsidRPr="00EE6A2C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lastRenderedPageBreak/>
        <w:t>Налоговые доходы</w:t>
      </w:r>
    </w:p>
    <w:p w:rsidR="008A5E05" w:rsidRPr="008A5E05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A5E05" w:rsidRPr="0048109F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Налоговые доходы в структуре фактически полученных, собственных доходов (без учета безвозмездных поступлений) занимают в бюджете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96,21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8A5E05" w:rsidRPr="0048109F" w:rsidRDefault="008A5E05" w:rsidP="008A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бюджете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налоговые доходы – составили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149 302,1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составляет 97,46 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исполнения от плана </w:t>
      </w:r>
      <w:r w:rsidR="00DD2C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сумме 153 185,9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рублей).</w:t>
      </w:r>
    </w:p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sz w:val="32"/>
          <w:szCs w:val="32"/>
        </w:rPr>
        <w:t xml:space="preserve">           </w:t>
      </w:r>
      <w:r w:rsidRPr="00315B6C">
        <w:rPr>
          <w:rFonts w:ascii="Times New Roman" w:hAnsi="Times New Roman" w:cs="Times New Roman"/>
          <w:sz w:val="32"/>
          <w:szCs w:val="32"/>
        </w:rPr>
        <w:t>О</w:t>
      </w:r>
      <w:r w:rsidRPr="00315B6C">
        <w:rPr>
          <w:rFonts w:ascii="Times New Roman" w:hAnsi="Times New Roman" w:cs="Times New Roman"/>
          <w:sz w:val="32"/>
          <w:szCs w:val="32"/>
        </w:rPr>
        <w:t>бщий объем поступлений за 2021 год по сравнению с аналогичным периодом 2020 года увеличился на 8,5 %. Налоговые и неналоговые доходы увеличились на 1,7 %, увеличился объем безвозмездных поступлений на 11,3 %. Дотация на выравнивание за 2021 год увеличилась на 3,8 %.</w:t>
      </w:r>
    </w:p>
    <w:p w:rsidR="00315B6C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основным источником налоговых доходов является налог на доходы физических лиц. За 2021 год в городской бюджет поступило 113 635,6 тыс. руб., что на 1,7 % больше по сравнению с 2020 годом.</w:t>
      </w:r>
    </w:p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 xml:space="preserve">  </w:t>
      </w:r>
      <w:r w:rsidR="00315B6C" w:rsidRPr="00315B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3CBAE6" wp14:editId="23DAE39F">
            <wp:extent cx="2405062" cy="1654175"/>
            <wp:effectExtent l="0" t="0" r="0" b="3175"/>
            <wp:docPr id="5" name="Picture 2" descr="https://www.mamajurist.ru/wp-content/uploads/pravo-na-imushchestvennyy-vychet-po-ipot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2" descr="https://www.mamajurist.ru/wp-content/uploads/pravo-na-imushchestvennyy-vychet-po-ipote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2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 xml:space="preserve">       Также одним из весомых доходов в городском бюджете является налог на имущество. В 2021 году данного налога поступило - 12 289,3 тыс. руб. (в том числе: налог на имущество физических лиц – 3 812,6 тыс. руб., земельный налог – 8 476,7 тыс. руб.). Утвержденные годовые бюджетные назначения за 2021 год исполнены на 99,9 %, но при этом по сравнению с 2020 годом в городской бюджет данного налога поступило меньше на 860,2 тыс. руб. или на 6,5 %.</w:t>
      </w:r>
    </w:p>
    <w:p w:rsidR="00727DFA" w:rsidRPr="00315B6C" w:rsidRDefault="00727DFA" w:rsidP="00727DFA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lastRenderedPageBreak/>
        <w:t xml:space="preserve">      Налогов на совокупный доход за 2021 год поступило 7 324,6 тыс. руб. или 99,6 % от плановых показателей (в том числе: налог, взимаемый в связи с применением упрощенной системы налогообложения – 3 389,8 тыс. руб., единый налог на вмененный доход – 2 209,4 тыс. руб., налог, взимаемый в связи с применением патентной системы налогообложения – 1 725,5 тыс. руб.).  </w:t>
      </w:r>
    </w:p>
    <w:p w:rsidR="00C954CF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 xml:space="preserve">      Акцизов по подакцизным товарам, производимым на территории РФ за 2021 год поступило 11 007,4 тыс. руб., при плане 10 800,0 тыс. руб. Исполнение составило 101,9 %. По отношению к 2020 году акцизов поступило на 1 007,4 тыс. руб. или на 110,1 % больше.</w:t>
      </w:r>
    </w:p>
    <w:p w:rsidR="00EE6A2C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Государственная пошлина за 2021 год поступила в размере 4 541,8 тыс. руб. Годовые бюджетные назначения исполнены на 100 %. В сравнении с 2020 годом произошло увеличение уплаты гос. пошлины на 872,8 тыс. руб. или 23,8 %.</w:t>
      </w:r>
    </w:p>
    <w:p w:rsidR="00080AF9" w:rsidRPr="00315B6C" w:rsidRDefault="00080AF9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  <w:bookmarkStart w:id="0" w:name="_GoBack"/>
      <w:r w:rsidRPr="00315B6C"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  <w:t>Неналоговые доходы</w:t>
      </w:r>
    </w:p>
    <w:p w:rsidR="00315B6C" w:rsidRPr="00315B6C" w:rsidRDefault="00315B6C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8"/>
          <w:szCs w:val="48"/>
          <w:lang w:eastAsia="ru-RU"/>
        </w:rPr>
      </w:pPr>
    </w:p>
    <w:bookmarkEnd w:id="0"/>
    <w:p w:rsidR="00B6768B" w:rsidRPr="00315B6C" w:rsidRDefault="00727DFA" w:rsidP="00315B6C">
      <w:pPr>
        <w:jc w:val="both"/>
        <w:rPr>
          <w:rFonts w:ascii="Times New Roman" w:hAnsi="Times New Roman" w:cs="Times New Roman"/>
          <w:sz w:val="32"/>
          <w:szCs w:val="32"/>
        </w:rPr>
      </w:pPr>
      <w:r w:rsidRPr="00315B6C">
        <w:rPr>
          <w:rFonts w:ascii="Times New Roman" w:hAnsi="Times New Roman" w:cs="Times New Roman"/>
          <w:sz w:val="32"/>
          <w:szCs w:val="32"/>
        </w:rPr>
        <w:t>Неналоговых доходов поступило за 2021 год – 5 884,9 тыс. руб., в том числе доходы от использования имущества, находящегося в государственной и муниципальной собственности - 3599,0 тыс. руб., платежи при пользовании природными ресурсами - 80,6 тыс. руб., доходы от продажи материальных и нематериальных активов - 839,8 тыс. руб., штрафы – 786,0 тыс. руб., прочие неналоговые доходы – 579,5 тыс. руб. В общей сумме неналоговых доходов в 2021 году поступило на 351,5 тыс. руб. или на 6,4 % больше, чем в 2020 году. Это связано с увеличением поступления доходов от аренды и продажи имущества.</w:t>
      </w:r>
    </w:p>
    <w:p w:rsidR="00B6768B" w:rsidRDefault="007D2C8E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984806" w:themeColor="accent6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C:\Users\Сидельникова ТИ\Downloads\5f4fc2ad6377795217a9bf8f9bd2e4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ownloads\5f4fc2ad6377795217a9bf8f9bd2e402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080AF9" w:rsidRPr="00EE6A2C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Б</w:t>
      </w:r>
      <w:r w:rsidR="00080AF9"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езвозмездные поступления</w:t>
      </w:r>
    </w:p>
    <w:p w:rsidR="00EE6A2C" w:rsidRDefault="00EE6A2C" w:rsidP="00080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27DFA" w:rsidRPr="00727DFA" w:rsidRDefault="00727DFA" w:rsidP="00727DFA">
      <w:pPr>
        <w:jc w:val="both"/>
        <w:rPr>
          <w:rFonts w:ascii="Times New Roman" w:hAnsi="Times New Roman" w:cs="Times New Roman"/>
          <w:sz w:val="44"/>
          <w:szCs w:val="44"/>
        </w:rPr>
      </w:pPr>
      <w:r w:rsidRPr="00727DFA">
        <w:rPr>
          <w:rFonts w:ascii="Times New Roman" w:hAnsi="Times New Roman" w:cs="Times New Roman"/>
          <w:sz w:val="44"/>
          <w:szCs w:val="44"/>
        </w:rPr>
        <w:t xml:space="preserve">Безвозмездные поступления от других бюджетов бюджетной системы РФ за 2021 год составили </w:t>
      </w:r>
      <w:r w:rsidRPr="00727DFA">
        <w:rPr>
          <w:rFonts w:ascii="Times New Roman" w:hAnsi="Times New Roman" w:cs="Times New Roman"/>
          <w:sz w:val="44"/>
          <w:szCs w:val="44"/>
        </w:rPr>
        <w:t>420 067,0 тыс. рублей.</w:t>
      </w:r>
    </w:p>
    <w:p w:rsidR="00EE6A2C" w:rsidRPr="00EE6A2C" w:rsidRDefault="00EE6A2C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52"/>
          <w:szCs w:val="52"/>
          <w:lang w:eastAsia="ru-RU"/>
        </w:rPr>
      </w:pPr>
    </w:p>
    <w:p w:rsidR="00EE6A2C" w:rsidRDefault="00727DF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 wp14:anchorId="79984995" wp14:editId="624BC7F2">
            <wp:extent cx="7470397" cy="4095750"/>
            <wp:effectExtent l="0" t="0" r="0" b="0"/>
            <wp:docPr id="10" name="Рисунок 10" descr="C:\Users\Сидельникова ТИ\Desktop\b1c07ad1d28f381c1fc7eff2c2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esktop\b1c07ad1d28f381c1fc7eff2c2bd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15" cy="41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3A" w:rsidRDefault="00A2353A" w:rsidP="008912C4">
      <w:pPr>
        <w:spacing w:after="0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8912C4" w:rsidRDefault="008912C4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Р</w:t>
      </w:r>
      <w:r w:rsidR="00F901FF"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асходная часть бюджета </w:t>
      </w: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городского округа</w:t>
      </w:r>
      <w:r w:rsidR="00F901FF"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 </w:t>
      </w:r>
    </w:p>
    <w:p w:rsidR="00F901FF" w:rsidRPr="00A2353A" w:rsidRDefault="00F901FF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«</w:t>
      </w:r>
      <w:r w:rsidR="008912C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Город Петровск-Забайкальский</w:t>
      </w: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» </w:t>
      </w:r>
    </w:p>
    <w:p w:rsidR="00F901FF" w:rsidRPr="00A2353A" w:rsidRDefault="00F901FF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за 202</w:t>
      </w:r>
      <w:r w:rsidR="008912C4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1</w:t>
      </w: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 год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Уточнённый план по расходной части бюджета составил 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576 219,7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рублей, исполнение составило 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562 566,5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рублей. План выполнен на 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97,6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%.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В 202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году, финансирование осуществлялось: 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Приоритетных, первоочередных расходов, таких как,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заработной платы и начислений на неё,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публичных нормативных обязательств и других социальных выплат,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расходование средств дорожного фонда,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-финансирование мероприятий по предупреждению и л</w:t>
      </w:r>
      <w:r w:rsidR="008912C4">
        <w:rPr>
          <w:rFonts w:ascii="Times New Roman" w:eastAsia="Times New Roman" w:hAnsi="Times New Roman" w:cs="Times New Roman"/>
          <w:sz w:val="40"/>
          <w:szCs w:val="40"/>
          <w:lang w:eastAsia="ru-RU"/>
        </w:rPr>
        <w:t>иквидации чрезвычайных ситуаций.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Остальные коды расходов финансировались исходя из финансовой возможности бюджета.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Наибольший удельный вес в расходах, как и в прежние года, составляют расходы на учреждения образования, которые в 202</w:t>
      </w:r>
      <w:r w:rsidR="00D852D3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составили </w:t>
      </w:r>
      <w:r w:rsidR="00D852D3">
        <w:rPr>
          <w:rFonts w:ascii="Times New Roman" w:eastAsia="Times New Roman" w:hAnsi="Times New Roman" w:cs="Times New Roman"/>
          <w:sz w:val="40"/>
          <w:szCs w:val="40"/>
          <w:lang w:eastAsia="ru-RU"/>
        </w:rPr>
        <w:t>379 006,3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тысяч рублей (</w:t>
      </w:r>
      <w:r w:rsidR="00D852D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62,5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%).</w:t>
      </w:r>
    </w:p>
    <w:p w:rsidR="00D852D3" w:rsidRPr="000E67A8" w:rsidRDefault="00D852D3" w:rsidP="00D852D3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0E67A8">
        <w:rPr>
          <w:rFonts w:ascii="Times New Roman" w:hAnsi="Times New Roman" w:cs="Times New Roman"/>
          <w:sz w:val="40"/>
          <w:szCs w:val="40"/>
        </w:rPr>
        <w:t xml:space="preserve">По разделу «Общегосударственные вопросы» отражены расходы на содержание местной администрации, другие общегосударственные вопросы (расходы по оценке </w:t>
      </w:r>
      <w:r w:rsidRPr="000E67A8">
        <w:rPr>
          <w:rFonts w:ascii="Times New Roman" w:hAnsi="Times New Roman" w:cs="Times New Roman"/>
          <w:sz w:val="40"/>
          <w:szCs w:val="40"/>
        </w:rPr>
        <w:lastRenderedPageBreak/>
        <w:t>имущества, экспертизы, ПСД), расходы обеспечения деятельности финансовых органов и деятельности контрольно-счетного органа городского округа.</w:t>
      </w:r>
    </w:p>
    <w:p w:rsidR="00D852D3" w:rsidRPr="000E67A8" w:rsidRDefault="00D852D3" w:rsidP="00D852D3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0E67A8">
        <w:rPr>
          <w:rFonts w:ascii="Times New Roman" w:hAnsi="Times New Roman" w:cs="Times New Roman"/>
          <w:sz w:val="40"/>
          <w:szCs w:val="40"/>
        </w:rPr>
        <w:t>По разделу «Национальная экономика» увеличение произошло из-за поступивших в местный бюджет иных межбюджетных трансфертов из краевого бюджета на реализацию мероприятий плана социального развития центров экономического роста Забайкальского края на строительство и реконструкцию автомобильных дорог (ул. Спортивная) , так же стоит отметить, что большой удельный вес по данному разделу занимают расходы на содержание автомобильных дорог и инженерных сооружений на них в границах городского округа  в рамках благоустройства, за счет поступивших акцизов в бюджет городского округа.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подразделу «Коммунальное хозяйство» </w:t>
      </w:r>
      <w:r w:rsidRPr="000E67A8"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 xml:space="preserve"> полном объеме расходы подраздела были направлены на подготовку к осенне-зимнему периоду объектов теплоэнергетики и объектов коммунальной инфраструктуры. По сравнению с 2020 годом в 2021 году на данные цели было направлено </w:t>
      </w:r>
      <w:r w:rsidRPr="000E67A8">
        <w:rPr>
          <w:rFonts w:ascii="Times New Roman" w:hAnsi="Times New Roman" w:cs="Times New Roman"/>
          <w:sz w:val="36"/>
          <w:szCs w:val="36"/>
        </w:rPr>
        <w:t xml:space="preserve">средств </w:t>
      </w:r>
      <w:r w:rsidRPr="000E67A8">
        <w:rPr>
          <w:rFonts w:ascii="Times New Roman" w:hAnsi="Times New Roman" w:cs="Times New Roman"/>
          <w:sz w:val="36"/>
          <w:szCs w:val="36"/>
        </w:rPr>
        <w:t>больше, за счет того, что из краевого бюджета поступило больше субсидии на подготовку к зиме, это и послужило основной причиной роста расходов в 2021 году по всему разделу «Жилищно-коммунальное хозяйство».</w:t>
      </w:r>
    </w:p>
    <w:p w:rsid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подразделу «Благоустройство» 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0E67A8">
        <w:rPr>
          <w:rFonts w:ascii="Times New Roman" w:hAnsi="Times New Roman" w:cs="Times New Roman"/>
          <w:sz w:val="36"/>
          <w:szCs w:val="36"/>
        </w:rPr>
        <w:t>асходы направлены на: уличное освещение; озеленение и прочее благоустройство.</w:t>
      </w:r>
    </w:p>
    <w:p w:rsid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lastRenderedPageBreak/>
        <w:t>В 2021 году расходы по разделу «Охрана окружающей среды» осуществлялись расходы по ликвидации мест несанкционированных свалок.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Расходы по разделу «Социальная политика»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 xml:space="preserve"> сравнении с аналогичным периодом прошлого года наблюдается рост фактических расходов, прежде всего это связано с увеличением рас</w:t>
      </w:r>
      <w:r>
        <w:rPr>
          <w:rFonts w:ascii="Times New Roman" w:hAnsi="Times New Roman" w:cs="Times New Roman"/>
          <w:sz w:val="36"/>
          <w:szCs w:val="36"/>
        </w:rPr>
        <w:t>ходов на пенсионное обеспечение</w:t>
      </w:r>
      <w:r w:rsidRPr="000E67A8">
        <w:rPr>
          <w:rFonts w:ascii="Times New Roman" w:hAnsi="Times New Roman" w:cs="Times New Roman"/>
          <w:sz w:val="36"/>
          <w:szCs w:val="36"/>
        </w:rPr>
        <w:t>; льготный проезд для отдельных категорий граждан увеличился по сравнению с аналогичным периодом прошлого года.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Расходы по разделу «Физическая культура и спорт»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 xml:space="preserve"> сравнении с аналогичным периодом 2020 года расходы данного раздела сократились, это связано с тем, что в 202</w:t>
      </w:r>
      <w:r>
        <w:rPr>
          <w:rFonts w:ascii="Times New Roman" w:hAnsi="Times New Roman" w:cs="Times New Roman"/>
          <w:sz w:val="36"/>
          <w:szCs w:val="36"/>
        </w:rPr>
        <w:t xml:space="preserve">0 году в рамках ЦЭР </w:t>
      </w:r>
      <w:r w:rsidRPr="000E67A8">
        <w:rPr>
          <w:rFonts w:ascii="Times New Roman" w:hAnsi="Times New Roman" w:cs="Times New Roman"/>
          <w:sz w:val="36"/>
          <w:szCs w:val="36"/>
        </w:rPr>
        <w:t>были направлены на строительство универсальной спортивной площадки на стадионе «Труд». В 2021 году все средства данного раздела были направлены на текущие расходы (наградную продукцию) по проведению спортивных мероприятий в городском округе.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разделу «Средства массовой информации»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E67A8">
        <w:rPr>
          <w:rFonts w:ascii="Times New Roman" w:hAnsi="Times New Roman" w:cs="Times New Roman"/>
          <w:sz w:val="36"/>
          <w:szCs w:val="36"/>
        </w:rPr>
        <w:t>се средства данного раздела направлены на МАРИУ «Петровская новь».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E67A8">
        <w:rPr>
          <w:rFonts w:ascii="Times New Roman" w:hAnsi="Times New Roman" w:cs="Times New Roman"/>
          <w:sz w:val="36"/>
          <w:szCs w:val="36"/>
        </w:rPr>
        <w:t xml:space="preserve">По разделу «Обслуживание государственного и муниципального долга»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0E67A8">
        <w:rPr>
          <w:rFonts w:ascii="Times New Roman" w:hAnsi="Times New Roman" w:cs="Times New Roman"/>
          <w:sz w:val="36"/>
          <w:szCs w:val="36"/>
        </w:rPr>
        <w:t>бязательства по обслуживанию муниципального долга перед Министерством финансов Забайкальского края выполнены городским округом в полном объеме.</w:t>
      </w:r>
    </w:p>
    <w:p w:rsidR="000E67A8" w:rsidRPr="000E67A8" w:rsidRDefault="000E67A8" w:rsidP="000E67A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8A5E05" w:rsidRDefault="008A5E05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315B6C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D038D" w:rsidRDefault="00C954CF" w:rsidP="008A5E05">
      <w:pPr>
        <w:ind w:firstLine="700"/>
        <w:jc w:val="both"/>
        <w:rPr>
          <w:color w:val="C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событиях</w:t>
      </w:r>
      <w:r w:rsidR="00FB2CF0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происходящих в жизни </w:t>
      </w:r>
      <w:r w:rsidR="000E67A8">
        <w:rPr>
          <w:rFonts w:ascii="Times New Roman" w:hAnsi="Times New Roman" w:cs="Times New Roman"/>
          <w:sz w:val="40"/>
          <w:szCs w:val="40"/>
        </w:rPr>
        <w:t xml:space="preserve">города </w:t>
      </w:r>
      <w:r>
        <w:rPr>
          <w:rFonts w:ascii="Times New Roman" w:hAnsi="Times New Roman" w:cs="Times New Roman"/>
          <w:sz w:val="40"/>
          <w:szCs w:val="40"/>
        </w:rPr>
        <w:t xml:space="preserve">можно узнать из </w:t>
      </w:r>
      <w:r w:rsidR="000E67A8">
        <w:rPr>
          <w:rFonts w:ascii="Times New Roman" w:hAnsi="Times New Roman" w:cs="Times New Roman"/>
          <w:sz w:val="40"/>
          <w:szCs w:val="40"/>
        </w:rPr>
        <w:t>городской</w:t>
      </w:r>
      <w:r w:rsidR="005601F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газеты </w:t>
      </w:r>
      <w:r w:rsidR="00612B3E" w:rsidRPr="005601F9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="000E67A8">
        <w:rPr>
          <w:rFonts w:ascii="Times New Roman" w:hAnsi="Times New Roman" w:cs="Times New Roman"/>
          <w:color w:val="C00000"/>
          <w:sz w:val="40"/>
          <w:szCs w:val="40"/>
        </w:rPr>
        <w:t>Петровская Новь</w:t>
      </w:r>
      <w:r w:rsidR="00612B3E" w:rsidRPr="005601F9"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="00612B3E">
        <w:rPr>
          <w:rFonts w:ascii="Times New Roman" w:hAnsi="Times New Roman" w:cs="Times New Roman"/>
          <w:sz w:val="40"/>
          <w:szCs w:val="40"/>
        </w:rPr>
        <w:t>,</w:t>
      </w:r>
      <w:r w:rsidR="0072001F">
        <w:rPr>
          <w:rFonts w:ascii="Times New Roman" w:hAnsi="Times New Roman" w:cs="Times New Roman"/>
          <w:sz w:val="40"/>
          <w:szCs w:val="40"/>
        </w:rPr>
        <w:t xml:space="preserve"> учредителем которой является администрация </w:t>
      </w:r>
      <w:r w:rsidR="000E67A8">
        <w:rPr>
          <w:rFonts w:ascii="Times New Roman" w:hAnsi="Times New Roman" w:cs="Times New Roman"/>
          <w:sz w:val="40"/>
          <w:szCs w:val="40"/>
        </w:rPr>
        <w:t>городского округа «Город Петровск-Забайкальский».</w:t>
      </w:r>
      <w:r w:rsidR="000E67A8">
        <w:rPr>
          <w:color w:val="C00000"/>
          <w:sz w:val="40"/>
          <w:szCs w:val="40"/>
        </w:rPr>
        <w:t xml:space="preserve"> </w:t>
      </w:r>
    </w:p>
    <w:p w:rsidR="00515662" w:rsidRDefault="00515662" w:rsidP="00515662">
      <w:pPr>
        <w:pStyle w:val="Default"/>
        <w:jc w:val="center"/>
        <w:rPr>
          <w:color w:val="7030A0"/>
          <w:sz w:val="96"/>
          <w:szCs w:val="96"/>
        </w:rPr>
      </w:pPr>
    </w:p>
    <w:p w:rsidR="00315B6C" w:rsidRDefault="00315B6C" w:rsidP="00515662">
      <w:pPr>
        <w:pStyle w:val="Default"/>
        <w:jc w:val="center"/>
        <w:rPr>
          <w:color w:val="7030A0"/>
          <w:sz w:val="96"/>
          <w:szCs w:val="9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  <w:r w:rsidRPr="00D210EA">
        <w:rPr>
          <w:b/>
          <w:color w:val="0070C0"/>
          <w:sz w:val="56"/>
          <w:szCs w:val="56"/>
        </w:rPr>
        <w:t xml:space="preserve">Комитет по финансам Администрации </w:t>
      </w:r>
      <w:r w:rsidR="00D210EA" w:rsidRPr="00D210EA">
        <w:rPr>
          <w:b/>
          <w:color w:val="0070C0"/>
          <w:sz w:val="56"/>
          <w:szCs w:val="56"/>
        </w:rPr>
        <w:t>городского округа «Город Петровск-Забайкальский»</w:t>
      </w: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</w:p>
    <w:p w:rsidR="00515662" w:rsidRPr="00D210EA" w:rsidRDefault="00515662" w:rsidP="00515662">
      <w:pPr>
        <w:pStyle w:val="Default"/>
        <w:jc w:val="center"/>
        <w:rPr>
          <w:b/>
          <w:color w:val="0070C0"/>
          <w:sz w:val="56"/>
          <w:szCs w:val="56"/>
        </w:rPr>
      </w:pPr>
      <w:r w:rsidRPr="00D210EA">
        <w:rPr>
          <w:b/>
          <w:color w:val="0070C0"/>
          <w:sz w:val="56"/>
          <w:szCs w:val="56"/>
        </w:rPr>
        <w:t>Контактная информация</w:t>
      </w:r>
    </w:p>
    <w:p w:rsidR="00515662" w:rsidRPr="00D210EA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5662" w:rsidRPr="00D210EA" w:rsidRDefault="00D210EA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673005,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Забайкальский к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ай,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г.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Петровск-Забайкальский, 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>площадь Ленина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B073BF"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15662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</w:p>
    <w:p w:rsidR="00515662" w:rsidRPr="00D210EA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кабинет </w:t>
      </w:r>
      <w:r w:rsidR="00D210EA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№ 9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D210EA" w:rsidRPr="00D210EA">
        <w:rPr>
          <w:rFonts w:ascii="Times New Roman" w:hAnsi="Times New Roman" w:cs="Times New Roman"/>
          <w:b/>
          <w:color w:val="0070C0"/>
          <w:sz w:val="28"/>
          <w:szCs w:val="28"/>
        </w:rPr>
        <w:t>3-15-12, 3-28-13, 3-16-11</w:t>
      </w:r>
      <w:r w:rsidRPr="00D210E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15662" w:rsidRPr="00D21F70" w:rsidRDefault="00515662" w:rsidP="00515662">
      <w:pPr>
        <w:spacing w:after="0" w:line="240" w:lineRule="auto"/>
        <w:rPr>
          <w:b/>
          <w:noProof/>
          <w:color w:val="7030A0"/>
        </w:rPr>
      </w:pPr>
    </w:p>
    <w:p w:rsidR="00C954CF" w:rsidRPr="0021662E" w:rsidRDefault="00D210EA" w:rsidP="0031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32896" cy="6924675"/>
            <wp:effectExtent l="0" t="0" r="6985" b="0"/>
            <wp:docPr id="7" name="Рисунок 7" descr="50 картинок «Спасибо за внимание» для ваших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картинок «Спасибо за внимание» для ваших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35" cy="69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4CF" w:rsidRPr="0021662E" w:rsidSect="00B016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FC8"/>
    <w:multiLevelType w:val="hybridMultilevel"/>
    <w:tmpl w:val="984C27D0"/>
    <w:lvl w:ilvl="0" w:tplc="C30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0"/>
    <w:rsid w:val="00056F3E"/>
    <w:rsid w:val="000736BC"/>
    <w:rsid w:val="00080AF9"/>
    <w:rsid w:val="000A281D"/>
    <w:rsid w:val="000D038D"/>
    <w:rsid w:val="000D37AE"/>
    <w:rsid w:val="000E4F25"/>
    <w:rsid w:val="000E67A8"/>
    <w:rsid w:val="001770E6"/>
    <w:rsid w:val="0021662E"/>
    <w:rsid w:val="00260C2E"/>
    <w:rsid w:val="00315B6C"/>
    <w:rsid w:val="00352217"/>
    <w:rsid w:val="0038115C"/>
    <w:rsid w:val="003852FE"/>
    <w:rsid w:val="003C0013"/>
    <w:rsid w:val="0042061E"/>
    <w:rsid w:val="00452C2B"/>
    <w:rsid w:val="0048109F"/>
    <w:rsid w:val="0048192E"/>
    <w:rsid w:val="00515662"/>
    <w:rsid w:val="005601F9"/>
    <w:rsid w:val="0060741A"/>
    <w:rsid w:val="00612B3E"/>
    <w:rsid w:val="006F68B2"/>
    <w:rsid w:val="00705356"/>
    <w:rsid w:val="0072001F"/>
    <w:rsid w:val="00727DFA"/>
    <w:rsid w:val="007B039E"/>
    <w:rsid w:val="007D2C8E"/>
    <w:rsid w:val="008139A0"/>
    <w:rsid w:val="008360CD"/>
    <w:rsid w:val="008757CE"/>
    <w:rsid w:val="008912C4"/>
    <w:rsid w:val="008A5E05"/>
    <w:rsid w:val="008B0413"/>
    <w:rsid w:val="009149C6"/>
    <w:rsid w:val="0096120C"/>
    <w:rsid w:val="00992838"/>
    <w:rsid w:val="00A2353A"/>
    <w:rsid w:val="00A51D59"/>
    <w:rsid w:val="00A744FF"/>
    <w:rsid w:val="00B016BF"/>
    <w:rsid w:val="00B073BF"/>
    <w:rsid w:val="00B6768B"/>
    <w:rsid w:val="00C03EAB"/>
    <w:rsid w:val="00C35528"/>
    <w:rsid w:val="00C954CF"/>
    <w:rsid w:val="00CD66B1"/>
    <w:rsid w:val="00D210EA"/>
    <w:rsid w:val="00D852D3"/>
    <w:rsid w:val="00DD2C6E"/>
    <w:rsid w:val="00DF22A6"/>
    <w:rsid w:val="00E55ED9"/>
    <w:rsid w:val="00E82D80"/>
    <w:rsid w:val="00EE6A2C"/>
    <w:rsid w:val="00F22133"/>
    <w:rsid w:val="00F308F5"/>
    <w:rsid w:val="00F32938"/>
    <w:rsid w:val="00F4721C"/>
    <w:rsid w:val="00F901FF"/>
    <w:rsid w:val="00FA3420"/>
    <w:rsid w:val="00FB2CF0"/>
    <w:rsid w:val="00FD5B16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7E77-F19E-47CD-A08D-6C604E98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133"/>
    <w:rPr>
      <w:color w:val="0000FF"/>
      <w:u w:val="single"/>
    </w:rPr>
  </w:style>
  <w:style w:type="character" w:styleId="a4">
    <w:name w:val="Strong"/>
    <w:basedOn w:val="a0"/>
    <w:uiPriority w:val="22"/>
    <w:qFormat/>
    <w:rsid w:val="00F22133"/>
    <w:rPr>
      <w:b/>
      <w:bCs/>
    </w:rPr>
  </w:style>
  <w:style w:type="paragraph" w:styleId="a5">
    <w:name w:val="Normal (Web)"/>
    <w:basedOn w:val="a"/>
    <w:uiPriority w:val="99"/>
    <w:unhideWhenUsed/>
    <w:rsid w:val="00C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0EE5-15F5-4375-AC13-7CBDEF3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8023</TotalTime>
  <Pages>15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Admin</cp:lastModifiedBy>
  <cp:revision>6</cp:revision>
  <cp:lastPrinted>2022-03-22T02:24:00Z</cp:lastPrinted>
  <dcterms:created xsi:type="dcterms:W3CDTF">2022-03-14T07:20:00Z</dcterms:created>
  <dcterms:modified xsi:type="dcterms:W3CDTF">2022-05-12T02:26:00Z</dcterms:modified>
</cp:coreProperties>
</file>