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9936BE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Pr="005107C1" w:rsidRDefault="00DA31DF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 «</w:t>
      </w:r>
      <w:r w:rsidR="009936BE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 w:rsidR="00305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</w:t>
      </w:r>
      <w:r w:rsidR="009936BE">
        <w:rPr>
          <w:rFonts w:ascii="Times New Roman" w:hAnsi="Times New Roman" w:cs="Times New Roman"/>
          <w:sz w:val="28"/>
          <w:szCs w:val="28"/>
        </w:rPr>
        <w:t>альский» от 20.11.2012 года №684, с изменениями, внесенными постановлением администрации городского округа «Город Петровск-Забайкальский» от 25.11.2015 года №473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Pr="005107C1" w:rsidRDefault="00D205CE" w:rsidP="005107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305BFD" w:rsidRDefault="00D205CE" w:rsidP="00510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36BE" w:rsidRDefault="009936BE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36BE" w:rsidRDefault="009936BE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36BE" w:rsidRDefault="009936BE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36BE" w:rsidRDefault="009936BE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5107C1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9936BE" w:rsidRPr="009936BE">
        <w:rPr>
          <w:rFonts w:ascii="Times New Roman" w:hAnsi="Times New Roman" w:cs="Times New Roman"/>
          <w:b/>
          <w:sz w:val="28"/>
          <w:szCs w:val="28"/>
        </w:rPr>
        <w:t>«Заключение, изменение или расторжение договоров социального найма с малоимущими гражданами, нуждающимися в улучшении жилищных условий», утвержденный постановлением администрации городского округа «Город Петровск-Забайкальский» от 20.11.2012 года №684, с изменениями, внесенными постановлением администрации городского округа «Город Петровск-Забайкальский» от 25.11.2015 года №473.</w:t>
      </w:r>
    </w:p>
    <w:p w:rsidR="009936BE" w:rsidRDefault="009936BE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764ABC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 w:rsidR="009936BE">
        <w:rPr>
          <w:rFonts w:ascii="Times New Roman" w:hAnsi="Times New Roman" w:cs="Times New Roman"/>
          <w:sz w:val="28"/>
          <w:szCs w:val="28"/>
        </w:rPr>
        <w:t xml:space="preserve"> дополнить пунктами 42 и 43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9936BE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«42.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9936BE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«43.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5502C2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74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5502C2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«74.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5502C2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91</w:t>
      </w:r>
      <w:bookmarkStart w:id="0" w:name="_GoBack"/>
      <w:bookmarkEnd w:id="0"/>
      <w:r w:rsidR="007674AC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53024"/>
    <w:rsid w:val="001771B5"/>
    <w:rsid w:val="00203646"/>
    <w:rsid w:val="00305BFD"/>
    <w:rsid w:val="00331C82"/>
    <w:rsid w:val="00360BB3"/>
    <w:rsid w:val="003905F8"/>
    <w:rsid w:val="00486C12"/>
    <w:rsid w:val="005107C1"/>
    <w:rsid w:val="005502C2"/>
    <w:rsid w:val="00566037"/>
    <w:rsid w:val="006670F2"/>
    <w:rsid w:val="00736166"/>
    <w:rsid w:val="0074595F"/>
    <w:rsid w:val="00764ABC"/>
    <w:rsid w:val="007674AC"/>
    <w:rsid w:val="00815989"/>
    <w:rsid w:val="0085556B"/>
    <w:rsid w:val="0088512F"/>
    <w:rsid w:val="009025FE"/>
    <w:rsid w:val="00906295"/>
    <w:rsid w:val="009249E6"/>
    <w:rsid w:val="009936BE"/>
    <w:rsid w:val="00A31F57"/>
    <w:rsid w:val="00AB63EA"/>
    <w:rsid w:val="00AC4584"/>
    <w:rsid w:val="00AD0596"/>
    <w:rsid w:val="00B65159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2022-05-04T03:45:00Z</cp:lastPrinted>
  <dcterms:created xsi:type="dcterms:W3CDTF">2021-02-25T02:14:00Z</dcterms:created>
  <dcterms:modified xsi:type="dcterms:W3CDTF">2022-05-13T02:03:00Z</dcterms:modified>
</cp:coreProperties>
</file>