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Pr="007B24F2" w:rsidRDefault="00870ED6" w:rsidP="00691D0C">
      <w:pPr>
        <w:spacing w:after="0" w:line="240" w:lineRule="auto"/>
        <w:ind w:right="-284" w:firstLine="0"/>
        <w:jc w:val="both"/>
        <w:rPr>
          <w:rFonts w:ascii="Times New Roman" w:hAnsi="Times New Roman"/>
          <w:lang w:val="ru-RU"/>
        </w:rPr>
      </w:pPr>
      <w:r w:rsidRPr="007B24F2">
        <w:rPr>
          <w:rFonts w:ascii="Times New Roman" w:hAnsi="Times New Roman"/>
          <w:lang w:val="ru-RU"/>
        </w:rPr>
        <w:t xml:space="preserve">   В</w:t>
      </w:r>
      <w:r w:rsidR="003D557F" w:rsidRPr="007B24F2">
        <w:rPr>
          <w:rFonts w:ascii="Times New Roman" w:hAnsi="Times New Roman"/>
          <w:lang w:val="ru-RU"/>
        </w:rPr>
        <w:t>о</w:t>
      </w:r>
      <w:r w:rsidRPr="007B24F2">
        <w:rPr>
          <w:rFonts w:ascii="Times New Roman" w:hAnsi="Times New Roman"/>
          <w:lang w:val="ru-RU"/>
        </w:rPr>
        <w:t xml:space="preserve"> </w:t>
      </w:r>
      <w:r w:rsidRPr="007B24F2">
        <w:rPr>
          <w:rFonts w:ascii="Times New Roman" w:hAnsi="Times New Roman"/>
        </w:rPr>
        <w:t>I</w:t>
      </w:r>
      <w:r w:rsidR="003D557F" w:rsidRPr="007B24F2">
        <w:rPr>
          <w:rFonts w:ascii="Times New Roman" w:hAnsi="Times New Roman"/>
        </w:rPr>
        <w:t>I</w:t>
      </w:r>
      <w:r w:rsidR="007B24F2" w:rsidRPr="007B24F2">
        <w:rPr>
          <w:rFonts w:ascii="Times New Roman" w:hAnsi="Times New Roman"/>
          <w:lang w:val="ru-RU"/>
        </w:rPr>
        <w:t xml:space="preserve"> квартале 2022</w:t>
      </w:r>
      <w:r w:rsidRPr="007B24F2">
        <w:rPr>
          <w:rFonts w:ascii="Times New Roman" w:hAnsi="Times New Roman"/>
          <w:lang w:val="ru-RU"/>
        </w:rPr>
        <w:t xml:space="preserve"> года Председателем</w:t>
      </w:r>
      <w:r w:rsidR="00795C96" w:rsidRPr="007B24F2">
        <w:rPr>
          <w:rFonts w:ascii="Times New Roman" w:hAnsi="Times New Roman"/>
          <w:lang w:val="ru-RU"/>
        </w:rPr>
        <w:t xml:space="preserve"> </w:t>
      </w:r>
      <w:r w:rsidR="004234BD" w:rsidRPr="007B24F2">
        <w:rPr>
          <w:rFonts w:ascii="Times New Roman" w:hAnsi="Times New Roman"/>
          <w:lang w:val="ru-RU"/>
        </w:rPr>
        <w:t>Контрольн</w:t>
      </w:r>
      <w:r w:rsidR="003D557F" w:rsidRPr="007B24F2">
        <w:rPr>
          <w:rFonts w:ascii="Times New Roman" w:hAnsi="Times New Roman"/>
          <w:lang w:val="ru-RU"/>
        </w:rPr>
        <w:t>о-счетного органа было осуществлено</w:t>
      </w:r>
      <w:r w:rsidRPr="007B24F2">
        <w:rPr>
          <w:rFonts w:ascii="Times New Roman" w:hAnsi="Times New Roman"/>
          <w:lang w:val="ru-RU"/>
        </w:rPr>
        <w:t xml:space="preserve"> </w:t>
      </w:r>
      <w:r w:rsidR="007B24F2" w:rsidRPr="007B24F2">
        <w:rPr>
          <w:rFonts w:ascii="Times New Roman" w:hAnsi="Times New Roman"/>
          <w:lang w:val="ru-RU"/>
        </w:rPr>
        <w:t>семь</w:t>
      </w:r>
      <w:r w:rsidR="00795C96" w:rsidRPr="007B24F2">
        <w:rPr>
          <w:rFonts w:ascii="Times New Roman" w:hAnsi="Times New Roman"/>
          <w:lang w:val="ru-RU"/>
        </w:rPr>
        <w:t xml:space="preserve"> экспертно-аналити</w:t>
      </w:r>
      <w:r w:rsidR="00836602" w:rsidRPr="007B24F2">
        <w:rPr>
          <w:rFonts w:ascii="Times New Roman" w:hAnsi="Times New Roman"/>
          <w:lang w:val="ru-RU"/>
        </w:rPr>
        <w:t>ческих мероприятия</w:t>
      </w:r>
      <w:r w:rsidR="00BB50B4" w:rsidRPr="007B24F2">
        <w:rPr>
          <w:rFonts w:ascii="Times New Roman" w:hAnsi="Times New Roman"/>
          <w:lang w:val="ru-RU"/>
        </w:rPr>
        <w:t>, а именно:</w:t>
      </w:r>
    </w:p>
    <w:p w:rsidR="00872BA1" w:rsidRPr="007B24F2" w:rsidRDefault="00872BA1" w:rsidP="00872BA1">
      <w:pPr>
        <w:pStyle w:val="ab"/>
        <w:numPr>
          <w:ilvl w:val="0"/>
          <w:numId w:val="11"/>
        </w:numPr>
        <w:spacing w:after="0" w:line="240" w:lineRule="auto"/>
        <w:ind w:right="-284"/>
        <w:jc w:val="center"/>
        <w:rPr>
          <w:rFonts w:ascii="Times New Roman" w:hAnsi="Times New Roman"/>
          <w:b/>
          <w:lang w:val="ru-RU"/>
        </w:rPr>
      </w:pPr>
      <w:r w:rsidRPr="007B24F2">
        <w:rPr>
          <w:rFonts w:ascii="Times New Roman" w:hAnsi="Times New Roman"/>
          <w:b/>
          <w:lang w:val="ru-RU"/>
        </w:rPr>
        <w:t xml:space="preserve">Внешняя проверка годовой бюджетной отчетности </w:t>
      </w:r>
      <w:r w:rsidR="007B24F2" w:rsidRPr="007B24F2">
        <w:rPr>
          <w:rFonts w:ascii="Times New Roman" w:hAnsi="Times New Roman"/>
          <w:b/>
          <w:lang w:val="ru-RU"/>
        </w:rPr>
        <w:t>главного распорядителя бюджетных средств</w:t>
      </w:r>
      <w:r w:rsidRPr="007B24F2">
        <w:rPr>
          <w:rFonts w:ascii="Times New Roman" w:hAnsi="Times New Roman"/>
          <w:b/>
          <w:lang w:val="ru-RU"/>
        </w:rPr>
        <w:t xml:space="preserve"> за </w:t>
      </w:r>
      <w:r w:rsidR="007B24F2" w:rsidRPr="007B24F2">
        <w:rPr>
          <w:rFonts w:ascii="Times New Roman" w:hAnsi="Times New Roman"/>
          <w:b/>
          <w:lang w:val="ru-RU"/>
        </w:rPr>
        <w:t>2021</w:t>
      </w:r>
      <w:r w:rsidRPr="007B24F2">
        <w:rPr>
          <w:rFonts w:ascii="Times New Roman" w:hAnsi="Times New Roman"/>
          <w:b/>
          <w:lang w:val="ru-RU"/>
        </w:rPr>
        <w:t xml:space="preserve"> год</w:t>
      </w:r>
    </w:p>
    <w:p w:rsidR="007B24F2" w:rsidRDefault="007B24F2" w:rsidP="007B24F2">
      <w:pPr>
        <w:suppressAutoHyphens/>
        <w:spacing w:after="0" w:line="240" w:lineRule="auto"/>
        <w:jc w:val="both"/>
        <w:rPr>
          <w:rFonts w:ascii="Times New Roman" w:hAnsi="Times New Roman"/>
          <w:bCs/>
          <w:color w:val="000000"/>
          <w:lang w:val="ru-RU" w:eastAsia="ar-SA" w:bidi="ar-SA"/>
        </w:rPr>
      </w:pPr>
      <w:r w:rsidRPr="007B24F2">
        <w:rPr>
          <w:rFonts w:ascii="Times New Roman" w:hAnsi="Times New Roman"/>
          <w:lang w:val="ru-RU" w:eastAsia="ar-SA" w:bidi="ar-SA"/>
        </w:rPr>
        <w:t xml:space="preserve">Объект экспертно-аналитического мероприятия: </w:t>
      </w:r>
      <w:r w:rsidRPr="007B24F2">
        <w:rPr>
          <w:rFonts w:ascii="Times New Roman" w:hAnsi="Times New Roman"/>
          <w:lang w:val="ru-RU"/>
        </w:rPr>
        <w:t>Комитет по образованию, делам молодежи, материнства и детства администрации</w:t>
      </w:r>
      <w:r w:rsidRPr="007B24F2">
        <w:rPr>
          <w:rFonts w:ascii="Times New Roman" w:hAnsi="Times New Roman"/>
          <w:lang w:val="ru-RU"/>
        </w:rPr>
        <w:t xml:space="preserve"> </w:t>
      </w:r>
      <w:r w:rsidRPr="007B24F2">
        <w:rPr>
          <w:rFonts w:ascii="Times New Roman" w:hAnsi="Times New Roman"/>
          <w:lang w:val="ru-RU"/>
        </w:rPr>
        <w:t>городского округа «Город Петровск-Забайкальский».</w:t>
      </w:r>
      <w:r w:rsidRPr="007B24F2">
        <w:rPr>
          <w:lang w:val="ru-RU"/>
        </w:rPr>
        <w:t xml:space="preserve"> </w:t>
      </w:r>
      <w:r w:rsidRPr="007B24F2">
        <w:rPr>
          <w:rFonts w:ascii="Times New Roman" w:hAnsi="Times New Roman"/>
          <w:bCs/>
          <w:color w:val="000000"/>
          <w:lang w:val="ru-RU" w:eastAsia="ar-SA" w:bidi="ar-SA"/>
        </w:rPr>
        <w:t>Проверяемый период: 2021 год.</w:t>
      </w:r>
    </w:p>
    <w:p w:rsidR="007B24F2" w:rsidRDefault="007B24F2" w:rsidP="007B24F2">
      <w:pPr>
        <w:suppressAutoHyphens/>
        <w:spacing w:after="0" w:line="240" w:lineRule="auto"/>
        <w:jc w:val="both"/>
        <w:rPr>
          <w:rFonts w:ascii="Times New Roman" w:hAnsi="Times New Roman"/>
          <w:bCs/>
          <w:color w:val="000000"/>
          <w:lang w:val="ru-RU" w:eastAsia="ar-SA" w:bidi="ar-SA"/>
        </w:rPr>
      </w:pPr>
      <w:r w:rsidRPr="007B24F2">
        <w:rPr>
          <w:rFonts w:ascii="Times New Roman" w:hAnsi="Times New Roman"/>
          <w:lang w:val="ru-RU" w:eastAsia="ar-SA" w:bidi="ar-SA"/>
        </w:rPr>
        <w:t xml:space="preserve">Годовая отчетность представлена в Контрольно-счетный орган в установленный срок в электронном виде. Отчетность составлена нарастающим итогом с начала года в рублях, подписана руководителем и </w:t>
      </w:r>
      <w:r w:rsidRPr="007B24F2">
        <w:rPr>
          <w:rFonts w:ascii="Times New Roman" w:hAnsi="Times New Roman"/>
          <w:lang w:val="ru-RU"/>
        </w:rPr>
        <w:t>главным бухгалтером.</w:t>
      </w:r>
      <w:r w:rsidRPr="007B24F2">
        <w:rPr>
          <w:rFonts w:ascii="Times New Roman" w:hAnsi="Times New Roman"/>
          <w:lang w:val="ru-RU" w:eastAsia="ar-SA" w:bidi="ar-SA"/>
        </w:rPr>
        <w:t xml:space="preserve"> Представленная отчетность сформирована в составе форм отчетности. </w:t>
      </w:r>
    </w:p>
    <w:p w:rsidR="007B24F2" w:rsidRDefault="007B24F2" w:rsidP="007B24F2">
      <w:pPr>
        <w:suppressAutoHyphens/>
        <w:spacing w:after="0" w:line="240" w:lineRule="auto"/>
        <w:jc w:val="both"/>
        <w:rPr>
          <w:rFonts w:ascii="Times New Roman" w:hAnsi="Times New Roman"/>
          <w:bCs/>
          <w:kern w:val="36"/>
          <w:lang w:val="ru-RU"/>
        </w:rPr>
      </w:pPr>
      <w:r w:rsidRPr="007B24F2">
        <w:rPr>
          <w:rFonts w:ascii="Times New Roman" w:hAnsi="Times New Roman"/>
          <w:bCs/>
          <w:kern w:val="36"/>
          <w:lang w:val="ru-RU"/>
        </w:rPr>
        <w:t xml:space="preserve">Дебиторская задолженность на конец отчетного периода у Комитета по образованию составляет 1,1 тыс. рублей, у бюджетных учреждений подведомственных Комитету по образованию, за счет бюджетных средств на 01.01.2022 г. задолженности нет. Дебиторская задолженность за счет внебюджетной деятельности на конец отчетного периода составила 655,6 тыс. рублей, что на 40% меньше аналогичного периода прошлого года. </w:t>
      </w:r>
    </w:p>
    <w:p w:rsidR="007B24F2" w:rsidRDefault="007B24F2" w:rsidP="007B24F2">
      <w:pPr>
        <w:suppressAutoHyphens/>
        <w:spacing w:after="0" w:line="240" w:lineRule="auto"/>
        <w:jc w:val="both"/>
        <w:rPr>
          <w:rFonts w:ascii="Times New Roman" w:hAnsi="Times New Roman"/>
          <w:bCs/>
          <w:kern w:val="36"/>
          <w:lang w:val="ru-RU"/>
        </w:rPr>
      </w:pPr>
      <w:r w:rsidRPr="007B24F2">
        <w:rPr>
          <w:rFonts w:ascii="Times New Roman" w:hAnsi="Times New Roman"/>
          <w:bCs/>
          <w:kern w:val="36"/>
          <w:lang w:val="ru-RU"/>
        </w:rPr>
        <w:t>На 01.01.2022 кредиторская задолженность Комитета по образованию составила 1</w:t>
      </w:r>
      <w:r w:rsidRPr="007B24F2">
        <w:rPr>
          <w:rFonts w:ascii="Times New Roman" w:hAnsi="Times New Roman"/>
          <w:bCs/>
          <w:kern w:val="36"/>
        </w:rPr>
        <w:t> </w:t>
      </w:r>
      <w:r w:rsidRPr="007B24F2">
        <w:rPr>
          <w:rFonts w:ascii="Times New Roman" w:hAnsi="Times New Roman"/>
          <w:bCs/>
          <w:kern w:val="36"/>
          <w:lang w:val="ru-RU"/>
        </w:rPr>
        <w:t>821,4 тыс. рублей, в том числе просроченная 56,4 тыс. рублей. Кредиторская задолженность бюджетных учреждений составила 19</w:t>
      </w:r>
      <w:r w:rsidRPr="007B24F2">
        <w:rPr>
          <w:rFonts w:ascii="Times New Roman" w:hAnsi="Times New Roman"/>
          <w:bCs/>
          <w:kern w:val="36"/>
        </w:rPr>
        <w:t> </w:t>
      </w:r>
      <w:r w:rsidRPr="007B24F2">
        <w:rPr>
          <w:rFonts w:ascii="Times New Roman" w:hAnsi="Times New Roman"/>
          <w:bCs/>
          <w:kern w:val="36"/>
          <w:lang w:val="ru-RU"/>
        </w:rPr>
        <w:t>406,4 тыс. руб., в том числе просроченная задолженность 6</w:t>
      </w:r>
      <w:r w:rsidRPr="007B24F2">
        <w:rPr>
          <w:rFonts w:ascii="Times New Roman" w:hAnsi="Times New Roman"/>
          <w:bCs/>
          <w:kern w:val="36"/>
        </w:rPr>
        <w:t> </w:t>
      </w:r>
      <w:r w:rsidRPr="007B24F2">
        <w:rPr>
          <w:rFonts w:ascii="Times New Roman" w:hAnsi="Times New Roman"/>
          <w:bCs/>
          <w:kern w:val="36"/>
          <w:lang w:val="ru-RU"/>
        </w:rPr>
        <w:t>167,7 тыс. рублей. В 2021 году наблюдается рост кредиторской задолженности почти в два раза, по сравнению с аналогичным периодом прошлого года.</w:t>
      </w:r>
    </w:p>
    <w:p w:rsidR="00405351" w:rsidRPr="007B24F2" w:rsidRDefault="00405351" w:rsidP="007B24F2">
      <w:pPr>
        <w:suppressAutoHyphens/>
        <w:spacing w:after="0" w:line="240" w:lineRule="auto"/>
        <w:jc w:val="both"/>
        <w:rPr>
          <w:rFonts w:ascii="Times New Roman" w:hAnsi="Times New Roman"/>
          <w:bCs/>
          <w:color w:val="000000"/>
          <w:lang w:val="ru-RU" w:eastAsia="ar-SA" w:bidi="ar-SA"/>
        </w:rPr>
      </w:pPr>
    </w:p>
    <w:p w:rsidR="003D557F" w:rsidRPr="007B24F2" w:rsidRDefault="003D557F" w:rsidP="00464896">
      <w:pPr>
        <w:pStyle w:val="ab"/>
        <w:numPr>
          <w:ilvl w:val="0"/>
          <w:numId w:val="11"/>
        </w:numPr>
        <w:spacing w:after="0" w:line="240" w:lineRule="auto"/>
        <w:ind w:right="-284"/>
        <w:jc w:val="center"/>
        <w:rPr>
          <w:rFonts w:ascii="Times New Roman" w:hAnsi="Times New Roman"/>
          <w:b/>
          <w:lang w:val="ru-RU"/>
        </w:rPr>
      </w:pPr>
      <w:r w:rsidRPr="007B24F2">
        <w:rPr>
          <w:rFonts w:ascii="Times New Roman" w:hAnsi="Times New Roman"/>
          <w:b/>
          <w:lang w:val="ru-RU"/>
        </w:rPr>
        <w:t xml:space="preserve">Внешняя проверка годовой бюджетной отчетности </w:t>
      </w:r>
      <w:r w:rsidR="00B81A0A" w:rsidRPr="007B24F2">
        <w:rPr>
          <w:rFonts w:ascii="Times New Roman" w:hAnsi="Times New Roman"/>
          <w:b/>
          <w:lang w:val="ru-RU"/>
        </w:rPr>
        <w:t>главного распорядителя бюджетных средств, главного</w:t>
      </w:r>
      <w:r w:rsidRPr="007B24F2">
        <w:rPr>
          <w:rFonts w:ascii="Times New Roman" w:hAnsi="Times New Roman"/>
          <w:b/>
          <w:lang w:val="ru-RU"/>
        </w:rPr>
        <w:t xml:space="preserve"> администратора доходов </w:t>
      </w:r>
      <w:r w:rsidR="00B81A0A" w:rsidRPr="007B24F2">
        <w:rPr>
          <w:rFonts w:ascii="Times New Roman" w:hAnsi="Times New Roman"/>
          <w:b/>
          <w:lang w:val="ru-RU"/>
        </w:rPr>
        <w:t xml:space="preserve">и главного администратора источников финансирования дефицита бюджета </w:t>
      </w:r>
      <w:r w:rsidR="007B24F2" w:rsidRPr="007B24F2">
        <w:rPr>
          <w:rFonts w:ascii="Times New Roman" w:hAnsi="Times New Roman"/>
          <w:b/>
          <w:lang w:val="ru-RU"/>
        </w:rPr>
        <w:t>за 2021</w:t>
      </w:r>
      <w:r w:rsidRPr="007B24F2">
        <w:rPr>
          <w:rFonts w:ascii="Times New Roman" w:hAnsi="Times New Roman"/>
          <w:b/>
          <w:lang w:val="ru-RU"/>
        </w:rPr>
        <w:t xml:space="preserve"> год</w:t>
      </w:r>
    </w:p>
    <w:p w:rsidR="007B24F2" w:rsidRDefault="003D557F" w:rsidP="007B24F2">
      <w:pPr>
        <w:suppressAutoHyphens/>
        <w:spacing w:after="0" w:line="240" w:lineRule="auto"/>
        <w:ind w:firstLine="284"/>
        <w:jc w:val="both"/>
        <w:rPr>
          <w:rFonts w:ascii="Times New Roman" w:hAnsi="Times New Roman"/>
          <w:bCs/>
          <w:color w:val="000000"/>
          <w:lang w:val="ru-RU" w:eastAsia="ar-SA" w:bidi="ar-SA"/>
        </w:rPr>
      </w:pPr>
      <w:r w:rsidRPr="007B24F2">
        <w:rPr>
          <w:rFonts w:ascii="Times New Roman" w:hAnsi="Times New Roman"/>
          <w:lang w:val="ru-RU" w:eastAsia="ar-SA" w:bidi="ar-SA"/>
        </w:rPr>
        <w:t>Объект экспертно-аналитич</w:t>
      </w:r>
      <w:r w:rsidR="00711C45" w:rsidRPr="007B24F2">
        <w:rPr>
          <w:rFonts w:ascii="Times New Roman" w:hAnsi="Times New Roman"/>
          <w:lang w:val="ru-RU" w:eastAsia="ar-SA" w:bidi="ar-SA"/>
        </w:rPr>
        <w:t>еского мероприятия: Комитет по финансам</w:t>
      </w:r>
      <w:r w:rsidRPr="007B24F2">
        <w:rPr>
          <w:rFonts w:ascii="Times New Roman" w:hAnsi="Times New Roman"/>
          <w:lang w:val="ru-RU" w:eastAsia="ar-SA" w:bidi="ar-SA"/>
        </w:rPr>
        <w:t xml:space="preserve"> администрации городского округа «Город Петровск- Забайкальский». </w:t>
      </w:r>
      <w:r w:rsidR="002B2021" w:rsidRPr="007B24F2">
        <w:rPr>
          <w:rFonts w:ascii="Times New Roman" w:hAnsi="Times New Roman"/>
          <w:bCs/>
          <w:color w:val="000000"/>
          <w:lang w:val="ru-RU" w:eastAsia="ar-SA" w:bidi="ar-SA"/>
        </w:rPr>
        <w:t xml:space="preserve">Проверяемый период: </w:t>
      </w:r>
      <w:r w:rsidR="007B24F2">
        <w:rPr>
          <w:rFonts w:ascii="Times New Roman" w:hAnsi="Times New Roman"/>
          <w:bCs/>
          <w:color w:val="000000"/>
          <w:lang w:val="ru-RU" w:eastAsia="ar-SA" w:bidi="ar-SA"/>
        </w:rPr>
        <w:t>2021</w:t>
      </w:r>
      <w:r w:rsidRPr="007B24F2">
        <w:rPr>
          <w:rFonts w:ascii="Times New Roman" w:hAnsi="Times New Roman"/>
          <w:bCs/>
          <w:color w:val="000000"/>
          <w:lang w:val="ru-RU" w:eastAsia="ar-SA" w:bidi="ar-SA"/>
        </w:rPr>
        <w:t xml:space="preserve"> год.</w:t>
      </w:r>
    </w:p>
    <w:p w:rsidR="007B24F2" w:rsidRDefault="007B24F2" w:rsidP="007B24F2">
      <w:pPr>
        <w:suppressAutoHyphens/>
        <w:spacing w:after="0" w:line="240" w:lineRule="auto"/>
        <w:ind w:firstLine="284"/>
        <w:jc w:val="both"/>
        <w:rPr>
          <w:rFonts w:ascii="Times New Roman" w:hAnsi="Times New Roman"/>
          <w:lang w:val="ru-RU" w:eastAsia="ar-SA" w:bidi="ar-SA"/>
        </w:rPr>
      </w:pPr>
      <w:r w:rsidRPr="007B24F2">
        <w:rPr>
          <w:rFonts w:ascii="Times New Roman" w:hAnsi="Times New Roman"/>
          <w:lang w:val="ru-RU" w:eastAsia="ar-SA" w:bidi="ar-SA"/>
        </w:rPr>
        <w:t xml:space="preserve">Годовая отчетность представлена в Контрольно-счетный орган в установленный срок в электронном виде. Отчетность составлена нарастающим итогом с начала года в рублях, подписана руководителем и </w:t>
      </w:r>
      <w:r w:rsidRPr="007B24F2">
        <w:rPr>
          <w:rFonts w:ascii="Times New Roman" w:hAnsi="Times New Roman"/>
          <w:lang w:val="ru-RU"/>
        </w:rPr>
        <w:t>главным бухгалтером.</w:t>
      </w:r>
      <w:r w:rsidRPr="007B24F2">
        <w:rPr>
          <w:rFonts w:ascii="Times New Roman" w:hAnsi="Times New Roman"/>
          <w:lang w:val="ru-RU" w:eastAsia="ar-SA" w:bidi="ar-SA"/>
        </w:rPr>
        <w:t xml:space="preserve"> Представленная отчетность сформирована в составе форм отчетности. </w:t>
      </w:r>
    </w:p>
    <w:p w:rsidR="007B24F2" w:rsidRDefault="007B24F2" w:rsidP="007B24F2">
      <w:pPr>
        <w:suppressAutoHyphens/>
        <w:spacing w:after="0" w:line="240" w:lineRule="auto"/>
        <w:ind w:firstLine="284"/>
        <w:jc w:val="both"/>
        <w:rPr>
          <w:rFonts w:ascii="Times New Roman" w:hAnsi="Times New Roman"/>
          <w:lang w:val="ru-RU"/>
        </w:rPr>
      </w:pPr>
      <w:r w:rsidRPr="007B24F2">
        <w:rPr>
          <w:rFonts w:ascii="Times New Roman" w:hAnsi="Times New Roman"/>
          <w:lang w:val="ru-RU"/>
        </w:rPr>
        <w:t xml:space="preserve">Согласно </w:t>
      </w:r>
      <w:r w:rsidRPr="007B24F2">
        <w:rPr>
          <w:rFonts w:ascii="Times New Roman" w:hAnsi="Times New Roman"/>
          <w:lang w:val="ru-RU"/>
        </w:rPr>
        <w:t>форме бюджетной отчетности,</w:t>
      </w:r>
      <w:r w:rsidRPr="007B24F2">
        <w:rPr>
          <w:rFonts w:ascii="Times New Roman" w:hAnsi="Times New Roman"/>
          <w:lang w:val="ru-RU"/>
        </w:rPr>
        <w:t xml:space="preserve"> ф.0503178 «Сведения об остатках денежных средств на счетах получателя бюджетных средств» на 01.01.2022 года имеются остатки денежных средств во временном распоряжении в сумме 782,1 тыс. рублей. На счетах бюджетных и автономных учреждений имеются остатки финансовых средств на конец отчетного периода, в общей сумме от внебюджетной деятельности – 978,3 тыс. рублей, от бюджетной деятельности – 862,2 тыс. рублей. Общая сумма остатков денежных средств на счетах бюджетных учреждений на 01.01.2022 года не значительная, наблюдается положительная динамика в минимизации остатков.</w:t>
      </w:r>
    </w:p>
    <w:p w:rsidR="007B24F2" w:rsidRDefault="007B24F2" w:rsidP="007B24F2">
      <w:pPr>
        <w:suppressAutoHyphens/>
        <w:spacing w:after="0" w:line="240" w:lineRule="auto"/>
        <w:ind w:firstLine="284"/>
        <w:jc w:val="both"/>
        <w:rPr>
          <w:rFonts w:ascii="Times New Roman" w:hAnsi="Times New Roman"/>
          <w:bCs/>
          <w:kern w:val="36"/>
          <w:lang w:val="ru-RU"/>
        </w:rPr>
      </w:pPr>
      <w:r w:rsidRPr="007B24F2">
        <w:rPr>
          <w:rFonts w:ascii="Times New Roman" w:hAnsi="Times New Roman"/>
          <w:bCs/>
          <w:kern w:val="36"/>
          <w:lang w:val="ru-RU"/>
        </w:rPr>
        <w:t>Показатели дебиторской задолженности в форме ф.0503369</w:t>
      </w:r>
      <w:r w:rsidRPr="007B24F2">
        <w:rPr>
          <w:rFonts w:ascii="Times New Roman" w:hAnsi="Times New Roman"/>
          <w:bCs/>
          <w:kern w:val="36"/>
        </w:rPr>
        <w:t>G</w:t>
      </w:r>
      <w:r w:rsidRPr="007B24F2">
        <w:rPr>
          <w:rFonts w:ascii="Times New Roman" w:hAnsi="Times New Roman"/>
          <w:bCs/>
          <w:kern w:val="36"/>
          <w:lang w:val="ru-RU"/>
        </w:rPr>
        <w:t>_БД и ф.0503169</w:t>
      </w:r>
      <w:r w:rsidRPr="007B24F2">
        <w:rPr>
          <w:rFonts w:ascii="Times New Roman" w:hAnsi="Times New Roman"/>
          <w:bCs/>
          <w:kern w:val="36"/>
        </w:rPr>
        <w:t>G</w:t>
      </w:r>
      <w:r w:rsidRPr="007B24F2">
        <w:rPr>
          <w:rFonts w:ascii="Times New Roman" w:hAnsi="Times New Roman"/>
          <w:bCs/>
          <w:kern w:val="36"/>
          <w:lang w:val="ru-RU"/>
        </w:rPr>
        <w:t>_БД на начало и конец периода идентичны, за исключением показателя дебиторской задолженности на конец отчетного периода, который в форме ф.0503169</w:t>
      </w:r>
      <w:r w:rsidRPr="007B24F2">
        <w:rPr>
          <w:rFonts w:ascii="Times New Roman" w:hAnsi="Times New Roman"/>
          <w:bCs/>
          <w:kern w:val="36"/>
        </w:rPr>
        <w:t>G</w:t>
      </w:r>
      <w:r w:rsidRPr="007B24F2">
        <w:rPr>
          <w:rFonts w:ascii="Times New Roman" w:hAnsi="Times New Roman"/>
          <w:bCs/>
          <w:kern w:val="36"/>
          <w:lang w:val="ru-RU"/>
        </w:rPr>
        <w:t>_БД равен 578</w:t>
      </w:r>
      <w:r w:rsidRPr="007B24F2">
        <w:rPr>
          <w:rFonts w:ascii="Times New Roman" w:hAnsi="Times New Roman"/>
          <w:bCs/>
          <w:kern w:val="36"/>
        </w:rPr>
        <w:t> </w:t>
      </w:r>
      <w:r w:rsidRPr="007B24F2">
        <w:rPr>
          <w:rFonts w:ascii="Times New Roman" w:hAnsi="Times New Roman"/>
          <w:bCs/>
          <w:kern w:val="36"/>
          <w:lang w:val="ru-RU"/>
        </w:rPr>
        <w:t>020,3 тыс. рублей, а в ф.0503369</w:t>
      </w:r>
      <w:r w:rsidRPr="007B24F2">
        <w:rPr>
          <w:rFonts w:ascii="Times New Roman" w:hAnsi="Times New Roman"/>
          <w:bCs/>
          <w:kern w:val="36"/>
        </w:rPr>
        <w:t>G</w:t>
      </w:r>
      <w:r w:rsidRPr="007B24F2">
        <w:rPr>
          <w:rFonts w:ascii="Times New Roman" w:hAnsi="Times New Roman"/>
          <w:bCs/>
          <w:kern w:val="36"/>
          <w:lang w:val="ru-RU"/>
        </w:rPr>
        <w:t>_БД - 5</w:t>
      </w:r>
      <w:r w:rsidRPr="007B24F2">
        <w:rPr>
          <w:rFonts w:ascii="Times New Roman" w:hAnsi="Times New Roman"/>
          <w:bCs/>
          <w:kern w:val="36"/>
        </w:rPr>
        <w:t> </w:t>
      </w:r>
      <w:r w:rsidRPr="007B24F2">
        <w:rPr>
          <w:rFonts w:ascii="Times New Roman" w:hAnsi="Times New Roman"/>
          <w:bCs/>
          <w:kern w:val="36"/>
          <w:lang w:val="ru-RU"/>
        </w:rPr>
        <w:t xml:space="preserve">445,2 тыс. рублей. Необходимо пояснить расхождения в показателях сумм дебиторской задолженности на конец отчетного периода, в формах бюджетной отчетности ф.0503369 </w:t>
      </w:r>
      <w:r w:rsidRPr="007B24F2">
        <w:rPr>
          <w:rFonts w:ascii="Times New Roman" w:hAnsi="Times New Roman"/>
          <w:bCs/>
          <w:kern w:val="36"/>
        </w:rPr>
        <w:t>G</w:t>
      </w:r>
      <w:r w:rsidRPr="007B24F2">
        <w:rPr>
          <w:rFonts w:ascii="Times New Roman" w:hAnsi="Times New Roman"/>
          <w:bCs/>
          <w:kern w:val="36"/>
          <w:lang w:val="ru-RU"/>
        </w:rPr>
        <w:t xml:space="preserve">_БД и ф.0503169 </w:t>
      </w:r>
      <w:r w:rsidRPr="007B24F2">
        <w:rPr>
          <w:rFonts w:ascii="Times New Roman" w:hAnsi="Times New Roman"/>
          <w:bCs/>
          <w:kern w:val="36"/>
        </w:rPr>
        <w:t>G</w:t>
      </w:r>
      <w:r w:rsidRPr="007B24F2">
        <w:rPr>
          <w:rFonts w:ascii="Times New Roman" w:hAnsi="Times New Roman"/>
          <w:bCs/>
          <w:kern w:val="36"/>
          <w:lang w:val="ru-RU"/>
        </w:rPr>
        <w:t xml:space="preserve">_БД на 01.01.2022 год.    </w:t>
      </w:r>
    </w:p>
    <w:p w:rsidR="007B24F2" w:rsidRDefault="007B24F2" w:rsidP="007B24F2">
      <w:pPr>
        <w:suppressAutoHyphens/>
        <w:spacing w:after="0" w:line="240" w:lineRule="auto"/>
        <w:ind w:firstLine="284"/>
        <w:jc w:val="both"/>
        <w:rPr>
          <w:rFonts w:ascii="Times New Roman" w:hAnsi="Times New Roman"/>
          <w:bCs/>
          <w:kern w:val="36"/>
          <w:lang w:val="ru-RU"/>
        </w:rPr>
      </w:pPr>
      <w:r w:rsidRPr="007B24F2">
        <w:rPr>
          <w:rFonts w:ascii="Times New Roman" w:hAnsi="Times New Roman"/>
          <w:bCs/>
          <w:kern w:val="36"/>
          <w:lang w:val="ru-RU"/>
        </w:rPr>
        <w:t>В форме бюджетной отчетности ф.0503169</w:t>
      </w:r>
      <w:r w:rsidRPr="007B24F2">
        <w:rPr>
          <w:rFonts w:ascii="Times New Roman" w:hAnsi="Times New Roman"/>
          <w:bCs/>
          <w:kern w:val="36"/>
        </w:rPr>
        <w:t>G</w:t>
      </w:r>
      <w:r w:rsidRPr="007B24F2">
        <w:rPr>
          <w:rFonts w:ascii="Times New Roman" w:hAnsi="Times New Roman"/>
          <w:bCs/>
          <w:kern w:val="36"/>
          <w:lang w:val="ru-RU"/>
        </w:rPr>
        <w:t>_БК и в ф.0503369</w:t>
      </w:r>
      <w:r w:rsidRPr="007B24F2">
        <w:rPr>
          <w:rFonts w:ascii="Times New Roman" w:hAnsi="Times New Roman"/>
          <w:bCs/>
          <w:kern w:val="36"/>
        </w:rPr>
        <w:t>G</w:t>
      </w:r>
      <w:r w:rsidRPr="007B24F2">
        <w:rPr>
          <w:rFonts w:ascii="Times New Roman" w:hAnsi="Times New Roman"/>
          <w:bCs/>
          <w:kern w:val="36"/>
          <w:lang w:val="ru-RU"/>
        </w:rPr>
        <w:t>_БК аналогичные показатели кредиторской задолженности на начало и конец отчетного периода, за исключением показателя кредиторской задолженности на начало отчетного периода, который в форме ф.0503169</w:t>
      </w:r>
      <w:r w:rsidRPr="007B24F2">
        <w:rPr>
          <w:rFonts w:ascii="Times New Roman" w:hAnsi="Times New Roman"/>
          <w:bCs/>
          <w:kern w:val="36"/>
        </w:rPr>
        <w:t>G</w:t>
      </w:r>
      <w:r w:rsidRPr="007B24F2">
        <w:rPr>
          <w:rFonts w:ascii="Times New Roman" w:hAnsi="Times New Roman"/>
          <w:bCs/>
          <w:kern w:val="36"/>
          <w:lang w:val="ru-RU"/>
        </w:rPr>
        <w:t>_БК равен 10</w:t>
      </w:r>
      <w:r w:rsidRPr="007B24F2">
        <w:rPr>
          <w:rFonts w:ascii="Times New Roman" w:hAnsi="Times New Roman"/>
          <w:bCs/>
          <w:kern w:val="36"/>
        </w:rPr>
        <w:t> </w:t>
      </w:r>
      <w:r w:rsidRPr="007B24F2">
        <w:rPr>
          <w:rFonts w:ascii="Times New Roman" w:hAnsi="Times New Roman"/>
          <w:bCs/>
          <w:kern w:val="36"/>
          <w:lang w:val="ru-RU"/>
        </w:rPr>
        <w:t>119,7 тыс. рублей, а в ф.0503369</w:t>
      </w:r>
      <w:r w:rsidRPr="007B24F2">
        <w:rPr>
          <w:rFonts w:ascii="Times New Roman" w:hAnsi="Times New Roman"/>
          <w:bCs/>
          <w:kern w:val="36"/>
        </w:rPr>
        <w:t>G</w:t>
      </w:r>
      <w:r w:rsidRPr="007B24F2">
        <w:rPr>
          <w:rFonts w:ascii="Times New Roman" w:hAnsi="Times New Roman"/>
          <w:bCs/>
          <w:kern w:val="36"/>
          <w:lang w:val="ru-RU"/>
        </w:rPr>
        <w:t>_БК - 10</w:t>
      </w:r>
      <w:r w:rsidRPr="007B24F2">
        <w:rPr>
          <w:rFonts w:ascii="Times New Roman" w:hAnsi="Times New Roman"/>
          <w:bCs/>
          <w:kern w:val="36"/>
        </w:rPr>
        <w:t> </w:t>
      </w:r>
      <w:r w:rsidRPr="007B24F2">
        <w:rPr>
          <w:rFonts w:ascii="Times New Roman" w:hAnsi="Times New Roman"/>
          <w:bCs/>
          <w:kern w:val="36"/>
          <w:lang w:val="ru-RU"/>
        </w:rPr>
        <w:t>075,4 тыс. руб. В формах бюджетной отчетности ф.0503369</w:t>
      </w:r>
      <w:r w:rsidRPr="007B24F2">
        <w:rPr>
          <w:rFonts w:ascii="Times New Roman" w:hAnsi="Times New Roman"/>
          <w:bCs/>
          <w:kern w:val="36"/>
        </w:rPr>
        <w:t>G</w:t>
      </w:r>
      <w:r w:rsidRPr="007B24F2">
        <w:rPr>
          <w:rFonts w:ascii="Times New Roman" w:hAnsi="Times New Roman"/>
          <w:bCs/>
          <w:kern w:val="36"/>
          <w:lang w:val="ru-RU"/>
        </w:rPr>
        <w:t>_БК и ф.0503169</w:t>
      </w:r>
      <w:r w:rsidRPr="007B24F2">
        <w:rPr>
          <w:rFonts w:ascii="Times New Roman" w:hAnsi="Times New Roman"/>
          <w:bCs/>
          <w:kern w:val="36"/>
        </w:rPr>
        <w:t>G</w:t>
      </w:r>
      <w:r w:rsidRPr="007B24F2">
        <w:rPr>
          <w:rFonts w:ascii="Times New Roman" w:hAnsi="Times New Roman"/>
          <w:bCs/>
          <w:kern w:val="36"/>
          <w:lang w:val="ru-RU"/>
        </w:rPr>
        <w:t xml:space="preserve">_БК на начало 2021 года идет расхождение по суммам кредиторской задолженности в 44,3 тыс. рублей, следовательно, данное расхождение необходимо пояснить. </w:t>
      </w:r>
    </w:p>
    <w:p w:rsidR="00405351" w:rsidRPr="007B24F2" w:rsidRDefault="00405351" w:rsidP="007B24F2">
      <w:pPr>
        <w:suppressAutoHyphens/>
        <w:spacing w:after="0" w:line="240" w:lineRule="auto"/>
        <w:ind w:firstLine="284"/>
        <w:jc w:val="both"/>
        <w:rPr>
          <w:rFonts w:ascii="Times New Roman" w:hAnsi="Times New Roman"/>
          <w:lang w:val="ru-RU" w:eastAsia="ar-SA" w:bidi="ar-SA"/>
        </w:rPr>
      </w:pPr>
    </w:p>
    <w:p w:rsidR="003D50BA" w:rsidRPr="007B24F2" w:rsidRDefault="003D50BA" w:rsidP="00464896">
      <w:pPr>
        <w:pStyle w:val="ab"/>
        <w:numPr>
          <w:ilvl w:val="0"/>
          <w:numId w:val="11"/>
        </w:numPr>
        <w:spacing w:after="0" w:line="240" w:lineRule="auto"/>
        <w:jc w:val="center"/>
        <w:rPr>
          <w:rFonts w:ascii="Times New Roman" w:hAnsi="Times New Roman"/>
          <w:b/>
          <w:lang w:val="ru-RU"/>
        </w:rPr>
      </w:pPr>
      <w:r w:rsidRPr="007B24F2">
        <w:rPr>
          <w:rFonts w:ascii="Times New Roman" w:hAnsi="Times New Roman"/>
          <w:b/>
          <w:lang w:val="ru-RU"/>
        </w:rPr>
        <w:t>Заключение на годовой отчет об исполнении бюджета городского округа «Город</w:t>
      </w:r>
      <w:r w:rsidR="007B24F2" w:rsidRPr="007B24F2">
        <w:rPr>
          <w:rFonts w:ascii="Times New Roman" w:hAnsi="Times New Roman"/>
          <w:b/>
          <w:lang w:val="ru-RU"/>
        </w:rPr>
        <w:t xml:space="preserve"> Петровск-Забайкальский» за 2021</w:t>
      </w:r>
      <w:r w:rsidRPr="007B24F2">
        <w:rPr>
          <w:rFonts w:ascii="Times New Roman" w:hAnsi="Times New Roman"/>
          <w:b/>
          <w:lang w:val="ru-RU"/>
        </w:rPr>
        <w:t xml:space="preserve"> год</w:t>
      </w:r>
    </w:p>
    <w:p w:rsidR="003D50BA" w:rsidRPr="007B24F2" w:rsidRDefault="003D50BA" w:rsidP="007B24F2">
      <w:pPr>
        <w:spacing w:after="0" w:line="240" w:lineRule="auto"/>
        <w:ind w:firstLine="0"/>
        <w:jc w:val="both"/>
        <w:rPr>
          <w:rFonts w:ascii="Times New Roman" w:hAnsi="Times New Roman"/>
          <w:lang w:val="ru-RU"/>
        </w:rPr>
      </w:pPr>
      <w:r w:rsidRPr="007B24F2">
        <w:rPr>
          <w:rFonts w:ascii="Times New Roman" w:hAnsi="Times New Roman"/>
          <w:color w:val="FF0000"/>
          <w:lang w:val="ru-RU"/>
        </w:rPr>
        <w:t xml:space="preserve"> </w:t>
      </w:r>
      <w:r w:rsidR="007B24F2">
        <w:rPr>
          <w:rFonts w:ascii="Times New Roman" w:hAnsi="Times New Roman"/>
          <w:color w:val="FF0000"/>
          <w:lang w:val="ru-RU"/>
        </w:rPr>
        <w:t xml:space="preserve">  </w:t>
      </w:r>
      <w:r w:rsidRPr="007B24F2">
        <w:rPr>
          <w:rFonts w:ascii="Times New Roman" w:hAnsi="Times New Roman"/>
          <w:lang w:val="ru-RU"/>
        </w:rPr>
        <w:t xml:space="preserve">Внешняя проверка отчета об исполнении бюджета городского округа «Город </w:t>
      </w:r>
      <w:r w:rsidR="007B24F2" w:rsidRPr="007B24F2">
        <w:rPr>
          <w:rFonts w:ascii="Times New Roman" w:hAnsi="Times New Roman"/>
          <w:lang w:val="ru-RU"/>
        </w:rPr>
        <w:t>Петровск- Забайкальский» за 2021</w:t>
      </w:r>
      <w:r w:rsidR="00041539" w:rsidRPr="007B24F2">
        <w:rPr>
          <w:rFonts w:ascii="Times New Roman" w:hAnsi="Times New Roman"/>
          <w:lang w:val="ru-RU"/>
        </w:rPr>
        <w:t xml:space="preserve"> год, </w:t>
      </w:r>
      <w:r w:rsidRPr="007B24F2">
        <w:rPr>
          <w:rFonts w:ascii="Times New Roman" w:hAnsi="Times New Roman"/>
          <w:lang w:val="ru-RU"/>
        </w:rPr>
        <w:t xml:space="preserve">показала, что основные параметры бюджета выполнены: </w:t>
      </w:r>
    </w:p>
    <w:p w:rsidR="007B24F2" w:rsidRPr="007B24F2" w:rsidRDefault="007B24F2" w:rsidP="007B24F2">
      <w:pPr>
        <w:spacing w:after="0" w:line="240" w:lineRule="auto"/>
        <w:ind w:firstLine="357"/>
        <w:jc w:val="both"/>
        <w:rPr>
          <w:rFonts w:ascii="Times New Roman" w:hAnsi="Times New Roman"/>
          <w:lang w:val="ru-RU"/>
        </w:rPr>
      </w:pPr>
      <w:r w:rsidRPr="007B24F2">
        <w:rPr>
          <w:rFonts w:ascii="Times New Roman" w:hAnsi="Times New Roman"/>
          <w:lang w:val="ru-RU"/>
        </w:rPr>
        <w:t xml:space="preserve">- по доходам в сумме </w:t>
      </w:r>
      <w:r w:rsidRPr="007B24F2">
        <w:rPr>
          <w:rFonts w:ascii="Times New Roman" w:hAnsi="Times New Roman"/>
          <w:b/>
          <w:lang w:val="ru-RU"/>
        </w:rPr>
        <w:t>575</w:t>
      </w:r>
      <w:r w:rsidRPr="007B24F2">
        <w:rPr>
          <w:rFonts w:ascii="Times New Roman" w:hAnsi="Times New Roman"/>
          <w:b/>
        </w:rPr>
        <w:t> </w:t>
      </w:r>
      <w:r w:rsidRPr="007B24F2">
        <w:rPr>
          <w:rFonts w:ascii="Times New Roman" w:hAnsi="Times New Roman"/>
          <w:b/>
          <w:lang w:val="ru-RU"/>
        </w:rPr>
        <w:t>254,0</w:t>
      </w:r>
      <w:r w:rsidRPr="007B24F2">
        <w:rPr>
          <w:rFonts w:ascii="Times New Roman" w:hAnsi="Times New Roman"/>
          <w:lang w:val="ru-RU"/>
        </w:rPr>
        <w:t xml:space="preserve"> тыс. рублей;</w:t>
      </w:r>
    </w:p>
    <w:p w:rsidR="007B24F2" w:rsidRPr="007B24F2" w:rsidRDefault="007B24F2" w:rsidP="007B24F2">
      <w:pPr>
        <w:spacing w:after="0" w:line="240" w:lineRule="auto"/>
        <w:ind w:firstLine="357"/>
        <w:jc w:val="both"/>
        <w:rPr>
          <w:rFonts w:ascii="Times New Roman" w:hAnsi="Times New Roman"/>
          <w:lang w:val="ru-RU"/>
        </w:rPr>
      </w:pPr>
      <w:r w:rsidRPr="007B24F2">
        <w:rPr>
          <w:rFonts w:ascii="Times New Roman" w:hAnsi="Times New Roman"/>
          <w:lang w:val="ru-RU"/>
        </w:rPr>
        <w:t xml:space="preserve">- по расходам в сумме </w:t>
      </w:r>
      <w:r w:rsidRPr="007B24F2">
        <w:rPr>
          <w:rFonts w:ascii="Times New Roman" w:hAnsi="Times New Roman"/>
          <w:b/>
          <w:lang w:val="ru-RU"/>
        </w:rPr>
        <w:t>562</w:t>
      </w:r>
      <w:r w:rsidRPr="007B24F2">
        <w:rPr>
          <w:rFonts w:ascii="Times New Roman" w:hAnsi="Times New Roman"/>
          <w:b/>
        </w:rPr>
        <w:t> </w:t>
      </w:r>
      <w:r w:rsidRPr="007B24F2">
        <w:rPr>
          <w:rFonts w:ascii="Times New Roman" w:hAnsi="Times New Roman"/>
          <w:b/>
          <w:lang w:val="ru-RU"/>
        </w:rPr>
        <w:t xml:space="preserve">566,5 </w:t>
      </w:r>
      <w:r w:rsidRPr="007B24F2">
        <w:rPr>
          <w:rFonts w:ascii="Times New Roman" w:hAnsi="Times New Roman"/>
          <w:lang w:val="ru-RU"/>
        </w:rPr>
        <w:t>тыс. рублей;</w:t>
      </w:r>
    </w:p>
    <w:p w:rsidR="007B24F2" w:rsidRPr="007B24F2" w:rsidRDefault="007B24F2" w:rsidP="007B24F2">
      <w:pPr>
        <w:spacing w:after="0" w:line="240" w:lineRule="auto"/>
        <w:ind w:firstLine="357"/>
        <w:jc w:val="both"/>
        <w:rPr>
          <w:rFonts w:ascii="Times New Roman" w:hAnsi="Times New Roman"/>
          <w:lang w:val="ru-RU"/>
        </w:rPr>
      </w:pPr>
      <w:r w:rsidRPr="007B24F2">
        <w:rPr>
          <w:rFonts w:ascii="Times New Roman" w:hAnsi="Times New Roman"/>
          <w:lang w:val="ru-RU"/>
        </w:rPr>
        <w:t xml:space="preserve">- профицит бюджета составил </w:t>
      </w:r>
      <w:r w:rsidRPr="007B24F2">
        <w:rPr>
          <w:rFonts w:ascii="Times New Roman" w:hAnsi="Times New Roman"/>
          <w:b/>
          <w:lang w:val="ru-RU"/>
        </w:rPr>
        <w:t>12</w:t>
      </w:r>
      <w:r w:rsidRPr="007B24F2">
        <w:rPr>
          <w:rFonts w:ascii="Times New Roman" w:hAnsi="Times New Roman"/>
          <w:b/>
        </w:rPr>
        <w:t> </w:t>
      </w:r>
      <w:r w:rsidRPr="007B24F2">
        <w:rPr>
          <w:rFonts w:ascii="Times New Roman" w:hAnsi="Times New Roman"/>
          <w:b/>
          <w:lang w:val="ru-RU"/>
        </w:rPr>
        <w:t>687,5</w:t>
      </w:r>
      <w:r w:rsidRPr="007B24F2">
        <w:rPr>
          <w:rFonts w:ascii="Times New Roman" w:hAnsi="Times New Roman"/>
          <w:lang w:val="ru-RU"/>
        </w:rPr>
        <w:t xml:space="preserve"> тыс. рублей.</w:t>
      </w:r>
    </w:p>
    <w:p w:rsidR="007B24F2" w:rsidRDefault="007B24F2" w:rsidP="0046261C">
      <w:pPr>
        <w:spacing w:after="0" w:line="240" w:lineRule="auto"/>
        <w:jc w:val="both"/>
        <w:rPr>
          <w:rFonts w:ascii="Times New Roman" w:hAnsi="Times New Roman"/>
          <w:color w:val="FF0000"/>
          <w:lang w:val="ru-RU"/>
        </w:rPr>
      </w:pPr>
      <w:bookmarkStart w:id="0" w:name="_GoBack"/>
      <w:r w:rsidRPr="007B24F2">
        <w:rPr>
          <w:rFonts w:ascii="Times New Roman" w:hAnsi="Times New Roman"/>
          <w:lang w:val="ru-RU"/>
        </w:rPr>
        <w:lastRenderedPageBreak/>
        <w:t>Поступления налоговых и неналоговых доходов в бюджет городского округа за 2021 год составили 155</w:t>
      </w:r>
      <w:r w:rsidRPr="007B24F2">
        <w:rPr>
          <w:rFonts w:ascii="Times New Roman" w:hAnsi="Times New Roman"/>
        </w:rPr>
        <w:t> </w:t>
      </w:r>
      <w:r w:rsidRPr="007B24F2">
        <w:rPr>
          <w:rFonts w:ascii="Times New Roman" w:hAnsi="Times New Roman"/>
          <w:lang w:val="ru-RU"/>
        </w:rPr>
        <w:t>187,0 рублей или 27% в общей структуре доходов. Безвозмездные поступления составили 420</w:t>
      </w:r>
      <w:r w:rsidRPr="007B24F2">
        <w:rPr>
          <w:rFonts w:ascii="Times New Roman" w:hAnsi="Times New Roman"/>
        </w:rPr>
        <w:t> </w:t>
      </w:r>
      <w:r w:rsidRPr="007B24F2">
        <w:rPr>
          <w:rFonts w:ascii="Times New Roman" w:hAnsi="Times New Roman"/>
          <w:lang w:val="ru-RU"/>
        </w:rPr>
        <w:t xml:space="preserve">067,0 тыс. рублей или 73% в общей структуре доходов. </w:t>
      </w:r>
    </w:p>
    <w:p w:rsidR="007B24F2" w:rsidRDefault="007B24F2" w:rsidP="0046261C">
      <w:pPr>
        <w:spacing w:after="0" w:line="240" w:lineRule="auto"/>
        <w:ind w:firstLine="357"/>
        <w:jc w:val="both"/>
        <w:rPr>
          <w:rFonts w:ascii="Times New Roman" w:hAnsi="Times New Roman"/>
          <w:color w:val="FF0000"/>
          <w:lang w:val="ru-RU"/>
        </w:rPr>
      </w:pPr>
      <w:r w:rsidRPr="007B24F2">
        <w:rPr>
          <w:rFonts w:ascii="Times New Roman" w:hAnsi="Times New Roman"/>
          <w:lang w:val="ru-RU"/>
        </w:rPr>
        <w:t>В общей сумме расходов, расходы на оплату труда и начисления составили 355</w:t>
      </w:r>
      <w:r w:rsidRPr="007B24F2">
        <w:rPr>
          <w:rFonts w:ascii="Times New Roman" w:hAnsi="Times New Roman"/>
        </w:rPr>
        <w:t> </w:t>
      </w:r>
      <w:r w:rsidRPr="007B24F2">
        <w:rPr>
          <w:rFonts w:ascii="Times New Roman" w:hAnsi="Times New Roman"/>
          <w:lang w:val="ru-RU"/>
        </w:rPr>
        <w:t>730,3 тыс. рублей или 63,2%, на оплату коммунальных услуг 62</w:t>
      </w:r>
      <w:r w:rsidRPr="007B24F2">
        <w:rPr>
          <w:rFonts w:ascii="Times New Roman" w:hAnsi="Times New Roman"/>
        </w:rPr>
        <w:t> </w:t>
      </w:r>
      <w:r w:rsidRPr="007B24F2">
        <w:rPr>
          <w:rFonts w:ascii="Times New Roman" w:hAnsi="Times New Roman"/>
          <w:lang w:val="ru-RU"/>
        </w:rPr>
        <w:t xml:space="preserve">852,3 тыс. рублей или 11,2% от общего объема расходов. Таким образом, 74,4% от общего объема расходов было направлено на первоочередные расходы.  </w:t>
      </w:r>
    </w:p>
    <w:p w:rsidR="007B24F2" w:rsidRDefault="007B24F2" w:rsidP="0046261C">
      <w:pPr>
        <w:spacing w:after="0" w:line="240" w:lineRule="auto"/>
        <w:ind w:firstLine="357"/>
        <w:jc w:val="both"/>
        <w:rPr>
          <w:rFonts w:ascii="Times New Roman" w:hAnsi="Times New Roman"/>
          <w:color w:val="FF0000"/>
          <w:lang w:val="ru-RU"/>
        </w:rPr>
      </w:pPr>
      <w:r w:rsidRPr="007B24F2">
        <w:rPr>
          <w:rFonts w:ascii="Times New Roman" w:hAnsi="Times New Roman"/>
          <w:b/>
          <w:bCs/>
          <w:lang w:val="ru-RU"/>
        </w:rPr>
        <w:t xml:space="preserve"> </w:t>
      </w:r>
      <w:r w:rsidRPr="007B24F2">
        <w:rPr>
          <w:rFonts w:ascii="Times New Roman" w:hAnsi="Times New Roman"/>
          <w:bCs/>
          <w:lang w:val="ru-RU"/>
        </w:rPr>
        <w:t xml:space="preserve">В отчетном </w:t>
      </w:r>
      <w:bookmarkEnd w:id="0"/>
      <w:r w:rsidRPr="007B24F2">
        <w:rPr>
          <w:rFonts w:ascii="Times New Roman" w:hAnsi="Times New Roman"/>
          <w:bCs/>
          <w:lang w:val="ru-RU"/>
        </w:rPr>
        <w:t>периоде городской бюджет сохранил социальную направленность. На указанные цели израсходовано 423</w:t>
      </w:r>
      <w:r w:rsidRPr="007B24F2">
        <w:rPr>
          <w:rFonts w:ascii="Times New Roman" w:hAnsi="Times New Roman"/>
          <w:bCs/>
        </w:rPr>
        <w:t> </w:t>
      </w:r>
      <w:r w:rsidRPr="007B24F2">
        <w:rPr>
          <w:rFonts w:ascii="Times New Roman" w:hAnsi="Times New Roman"/>
          <w:bCs/>
          <w:lang w:val="ru-RU"/>
        </w:rPr>
        <w:t>530,0 тыс. рублей</w:t>
      </w:r>
      <w:r w:rsidRPr="007B24F2">
        <w:rPr>
          <w:rFonts w:ascii="Times New Roman" w:hAnsi="Times New Roman"/>
          <w:bCs/>
        </w:rPr>
        <w:t> </w:t>
      </w:r>
      <w:r w:rsidRPr="007B24F2">
        <w:rPr>
          <w:rFonts w:ascii="Times New Roman" w:hAnsi="Times New Roman"/>
          <w:bCs/>
          <w:lang w:val="ru-RU"/>
        </w:rPr>
        <w:t>или 75,4% от общего объема расходов, наибольший удельный вес занимают расходы на образование – 379</w:t>
      </w:r>
      <w:r w:rsidRPr="007B24F2">
        <w:rPr>
          <w:rFonts w:ascii="Times New Roman" w:hAnsi="Times New Roman"/>
          <w:bCs/>
        </w:rPr>
        <w:t> </w:t>
      </w:r>
      <w:r w:rsidRPr="007B24F2">
        <w:rPr>
          <w:rFonts w:ascii="Times New Roman" w:hAnsi="Times New Roman"/>
          <w:bCs/>
          <w:lang w:val="ru-RU"/>
        </w:rPr>
        <w:t>006,3 тыс. руб. или 67,4%, культуру – 30</w:t>
      </w:r>
      <w:r w:rsidRPr="007B24F2">
        <w:rPr>
          <w:rFonts w:ascii="Times New Roman" w:hAnsi="Times New Roman"/>
          <w:bCs/>
        </w:rPr>
        <w:t> </w:t>
      </w:r>
      <w:r w:rsidRPr="007B24F2">
        <w:rPr>
          <w:rFonts w:ascii="Times New Roman" w:hAnsi="Times New Roman"/>
          <w:bCs/>
          <w:lang w:val="ru-RU"/>
        </w:rPr>
        <w:t>661,7 тыс. руб. или 5,5%, социальную политику – 13</w:t>
      </w:r>
      <w:r w:rsidRPr="007B24F2">
        <w:rPr>
          <w:rFonts w:ascii="Times New Roman" w:hAnsi="Times New Roman"/>
          <w:bCs/>
        </w:rPr>
        <w:t> </w:t>
      </w:r>
      <w:r w:rsidRPr="007B24F2">
        <w:rPr>
          <w:rFonts w:ascii="Times New Roman" w:hAnsi="Times New Roman"/>
          <w:bCs/>
          <w:lang w:val="ru-RU"/>
        </w:rPr>
        <w:t>862,0 тыс. руб. или 2,5%.</w:t>
      </w:r>
    </w:p>
    <w:p w:rsidR="007B24F2" w:rsidRDefault="007B24F2" w:rsidP="00F363CA">
      <w:pPr>
        <w:spacing w:after="0" w:line="240" w:lineRule="auto"/>
        <w:ind w:firstLine="357"/>
        <w:jc w:val="both"/>
        <w:rPr>
          <w:rFonts w:ascii="Times New Roman" w:hAnsi="Times New Roman"/>
          <w:lang w:val="ru-RU"/>
        </w:rPr>
      </w:pPr>
      <w:r w:rsidRPr="007B24F2">
        <w:rPr>
          <w:rFonts w:ascii="Times New Roman" w:hAnsi="Times New Roman"/>
          <w:lang w:val="ru-RU"/>
        </w:rPr>
        <w:t>По состоянию на 01.01.2022г. муниципальный долг составил 31</w:t>
      </w:r>
      <w:r w:rsidRPr="007B24F2">
        <w:rPr>
          <w:rFonts w:ascii="Times New Roman" w:hAnsi="Times New Roman"/>
        </w:rPr>
        <w:t> </w:t>
      </w:r>
      <w:r w:rsidRPr="007B24F2">
        <w:rPr>
          <w:rFonts w:ascii="Times New Roman" w:hAnsi="Times New Roman"/>
          <w:lang w:val="ru-RU"/>
        </w:rPr>
        <w:t>422,9 тыс. рублей.</w:t>
      </w:r>
    </w:p>
    <w:p w:rsidR="00405351" w:rsidRPr="007B24F2" w:rsidRDefault="00405351" w:rsidP="00F363CA">
      <w:pPr>
        <w:spacing w:after="0" w:line="240" w:lineRule="auto"/>
        <w:ind w:firstLine="357"/>
        <w:jc w:val="both"/>
        <w:rPr>
          <w:rFonts w:ascii="Times New Roman" w:hAnsi="Times New Roman"/>
          <w:color w:val="FF0000"/>
          <w:lang w:val="ru-RU"/>
        </w:rPr>
      </w:pPr>
    </w:p>
    <w:p w:rsidR="00F363CA" w:rsidRDefault="00F363CA" w:rsidP="00F363CA">
      <w:pPr>
        <w:pStyle w:val="ab"/>
        <w:numPr>
          <w:ilvl w:val="0"/>
          <w:numId w:val="11"/>
        </w:numPr>
        <w:spacing w:line="240" w:lineRule="auto"/>
        <w:jc w:val="center"/>
        <w:rPr>
          <w:rFonts w:ascii="Times New Roman" w:hAnsi="Times New Roman"/>
          <w:b/>
          <w:lang w:val="ru-RU"/>
        </w:rPr>
      </w:pPr>
      <w:r w:rsidRPr="00F363CA">
        <w:rPr>
          <w:rFonts w:ascii="Times New Roman" w:hAnsi="Times New Roman"/>
          <w:b/>
          <w:lang w:val="ru-RU"/>
        </w:rPr>
        <w:t>Экспертиза проекта Решения Думы ГО «Город Петровск-Забайкальский» «О внесении изменений в решение Думы ГО «Город Петровск-Забайкальский» от 24 декабря 2021 года №47 «О бюджете городского округа «Город Петровск-Забайкальский» на 2022 год и плановый период 2023 и 2024 годов»</w:t>
      </w:r>
      <w:r w:rsidRPr="00F363CA">
        <w:rPr>
          <w:rFonts w:ascii="Times New Roman" w:hAnsi="Times New Roman"/>
          <w:b/>
          <w:lang w:val="ru-RU"/>
        </w:rPr>
        <w:t xml:space="preserve"> </w:t>
      </w:r>
      <w:r w:rsidRPr="00F363CA">
        <w:rPr>
          <w:rFonts w:ascii="Times New Roman" w:hAnsi="Times New Roman"/>
          <w:b/>
          <w:lang w:val="ru-RU"/>
        </w:rPr>
        <w:t>(в редакции от 25.03.2022 года №12)</w:t>
      </w:r>
    </w:p>
    <w:p w:rsidR="0046261C" w:rsidRPr="00211BF4" w:rsidRDefault="00211BF4" w:rsidP="0046261C">
      <w:pPr>
        <w:pStyle w:val="Default"/>
        <w:jc w:val="both"/>
        <w:rPr>
          <w:sz w:val="22"/>
          <w:szCs w:val="22"/>
        </w:rPr>
      </w:pPr>
      <w:r w:rsidRPr="00211BF4">
        <w:rPr>
          <w:sz w:val="22"/>
          <w:szCs w:val="22"/>
        </w:rPr>
        <w:t xml:space="preserve">Проектом решения о внесении изменений в бюджет городского округа на 2022 год   прогнозируются показатели бюджета в следующих объемах: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428"/>
        <w:gridCol w:w="2372"/>
      </w:tblGrid>
      <w:tr w:rsidR="00211BF4" w:rsidRPr="00211BF4" w:rsidTr="00211BF4">
        <w:trPr>
          <w:trHeight w:val="453"/>
        </w:trPr>
        <w:tc>
          <w:tcPr>
            <w:tcW w:w="2943"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proofErr w:type="spellStart"/>
            <w:r w:rsidRPr="00211BF4">
              <w:rPr>
                <w:rFonts w:ascii="Times New Roman" w:hAnsi="Times New Roman"/>
                <w:sz w:val="20"/>
                <w:szCs w:val="20"/>
              </w:rPr>
              <w:t>Показатели</w:t>
            </w:r>
            <w:proofErr w:type="spellEnd"/>
          </w:p>
        </w:tc>
        <w:tc>
          <w:tcPr>
            <w:tcW w:w="226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proofErr w:type="spellStart"/>
            <w:r w:rsidRPr="00211BF4">
              <w:rPr>
                <w:rFonts w:ascii="Times New Roman" w:hAnsi="Times New Roman"/>
                <w:sz w:val="20"/>
                <w:szCs w:val="20"/>
              </w:rPr>
              <w:t>Утверждено</w:t>
            </w:r>
            <w:proofErr w:type="spellEnd"/>
            <w:r w:rsidRPr="00211BF4">
              <w:rPr>
                <w:rFonts w:ascii="Times New Roman" w:hAnsi="Times New Roman"/>
                <w:sz w:val="20"/>
                <w:szCs w:val="20"/>
              </w:rPr>
              <w:t xml:space="preserve"> </w:t>
            </w:r>
            <w:proofErr w:type="spellStart"/>
            <w:r w:rsidRPr="00211BF4">
              <w:rPr>
                <w:rFonts w:ascii="Times New Roman" w:hAnsi="Times New Roman"/>
                <w:sz w:val="20"/>
                <w:szCs w:val="20"/>
              </w:rPr>
              <w:t>на</w:t>
            </w:r>
            <w:proofErr w:type="spellEnd"/>
            <w:r>
              <w:rPr>
                <w:rFonts w:ascii="Times New Roman" w:hAnsi="Times New Roman"/>
                <w:sz w:val="20"/>
                <w:szCs w:val="20"/>
                <w:lang w:val="ru-RU"/>
              </w:rPr>
              <w:t xml:space="preserve"> </w:t>
            </w:r>
            <w:r w:rsidRPr="00211BF4">
              <w:rPr>
                <w:rFonts w:ascii="Times New Roman" w:hAnsi="Times New Roman"/>
                <w:sz w:val="20"/>
                <w:szCs w:val="20"/>
              </w:rPr>
              <w:t xml:space="preserve">2022 </w:t>
            </w:r>
            <w:proofErr w:type="spellStart"/>
            <w:r w:rsidRPr="00211BF4">
              <w:rPr>
                <w:rFonts w:ascii="Times New Roman" w:hAnsi="Times New Roman"/>
                <w:sz w:val="20"/>
                <w:szCs w:val="20"/>
              </w:rPr>
              <w:t>год</w:t>
            </w:r>
            <w:proofErr w:type="spellEnd"/>
            <w:r w:rsidRPr="00211BF4">
              <w:rPr>
                <w:rFonts w:ascii="Times New Roman" w:hAnsi="Times New Roman"/>
                <w:sz w:val="20"/>
                <w:szCs w:val="20"/>
              </w:rPr>
              <w:t xml:space="preserve"> </w:t>
            </w:r>
          </w:p>
        </w:tc>
        <w:tc>
          <w:tcPr>
            <w:tcW w:w="242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lang w:val="ru-RU"/>
              </w:rPr>
            </w:pPr>
            <w:r w:rsidRPr="00211BF4">
              <w:rPr>
                <w:rFonts w:ascii="Times New Roman" w:hAnsi="Times New Roman"/>
                <w:sz w:val="20"/>
                <w:szCs w:val="20"/>
                <w:lang w:val="ru-RU"/>
              </w:rPr>
              <w:t>Проект Решения изменений</w:t>
            </w:r>
            <w:r>
              <w:rPr>
                <w:rFonts w:ascii="Times New Roman" w:hAnsi="Times New Roman"/>
                <w:sz w:val="20"/>
                <w:szCs w:val="20"/>
                <w:lang w:val="ru-RU"/>
              </w:rPr>
              <w:t xml:space="preserve"> </w:t>
            </w:r>
            <w:r w:rsidRPr="00211BF4">
              <w:rPr>
                <w:rFonts w:ascii="Times New Roman" w:hAnsi="Times New Roman"/>
                <w:sz w:val="20"/>
                <w:szCs w:val="20"/>
                <w:lang w:val="ru-RU"/>
              </w:rPr>
              <w:t>на 2022 год</w:t>
            </w:r>
          </w:p>
        </w:tc>
        <w:tc>
          <w:tcPr>
            <w:tcW w:w="2372"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proofErr w:type="spellStart"/>
            <w:r>
              <w:rPr>
                <w:rFonts w:ascii="Times New Roman" w:hAnsi="Times New Roman"/>
                <w:sz w:val="20"/>
                <w:szCs w:val="20"/>
              </w:rPr>
              <w:t>Разницу</w:t>
            </w:r>
            <w:proofErr w:type="spellEnd"/>
            <w:r>
              <w:rPr>
                <w:rFonts w:ascii="Times New Roman" w:hAnsi="Times New Roman"/>
                <w:sz w:val="20"/>
                <w:szCs w:val="20"/>
              </w:rPr>
              <w:t xml:space="preserve"> </w:t>
            </w:r>
            <w:proofErr w:type="spellStart"/>
            <w:r>
              <w:rPr>
                <w:rFonts w:ascii="Times New Roman" w:hAnsi="Times New Roman"/>
                <w:sz w:val="20"/>
                <w:szCs w:val="20"/>
              </w:rPr>
              <w:t>утвержденного</w:t>
            </w:r>
            <w:proofErr w:type="spellEnd"/>
            <w:r>
              <w:rPr>
                <w:rFonts w:ascii="Times New Roman" w:hAnsi="Times New Roman"/>
                <w:sz w:val="20"/>
                <w:szCs w:val="20"/>
              </w:rPr>
              <w:t xml:space="preserve"> </w:t>
            </w:r>
            <w:proofErr w:type="spellStart"/>
            <w:r>
              <w:rPr>
                <w:rFonts w:ascii="Times New Roman" w:hAnsi="Times New Roman"/>
                <w:sz w:val="20"/>
                <w:szCs w:val="20"/>
              </w:rPr>
              <w:t>проекта</w:t>
            </w:r>
            <w:proofErr w:type="spellEnd"/>
          </w:p>
        </w:tc>
      </w:tr>
      <w:tr w:rsidR="00211BF4" w:rsidRPr="00211BF4" w:rsidTr="00211BF4">
        <w:tc>
          <w:tcPr>
            <w:tcW w:w="2943"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proofErr w:type="spellStart"/>
            <w:r w:rsidRPr="00211BF4">
              <w:rPr>
                <w:rFonts w:ascii="Times New Roman" w:hAnsi="Times New Roman"/>
                <w:sz w:val="20"/>
                <w:szCs w:val="20"/>
              </w:rPr>
              <w:t>Доходы</w:t>
            </w:r>
            <w:proofErr w:type="spellEnd"/>
            <w:r w:rsidRPr="00211BF4">
              <w:rPr>
                <w:rFonts w:ascii="Times New Roman" w:hAnsi="Times New Roman"/>
                <w:sz w:val="20"/>
                <w:szCs w:val="20"/>
              </w:rPr>
              <w:t xml:space="preserve">, </w:t>
            </w:r>
            <w:proofErr w:type="spellStart"/>
            <w:r w:rsidRPr="00211BF4">
              <w:rPr>
                <w:rFonts w:ascii="Times New Roman" w:hAnsi="Times New Roman"/>
                <w:sz w:val="20"/>
                <w:szCs w:val="20"/>
              </w:rPr>
              <w:t>всего</w:t>
            </w:r>
            <w:proofErr w:type="spellEnd"/>
          </w:p>
        </w:tc>
        <w:tc>
          <w:tcPr>
            <w:tcW w:w="226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551 636,8</w:t>
            </w:r>
          </w:p>
        </w:tc>
        <w:tc>
          <w:tcPr>
            <w:tcW w:w="242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552 685,6</w:t>
            </w:r>
          </w:p>
        </w:tc>
        <w:tc>
          <w:tcPr>
            <w:tcW w:w="2372"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+1 048,8</w:t>
            </w:r>
          </w:p>
        </w:tc>
      </w:tr>
      <w:tr w:rsidR="00211BF4" w:rsidRPr="00211BF4" w:rsidTr="00211BF4">
        <w:trPr>
          <w:trHeight w:val="587"/>
        </w:trPr>
        <w:tc>
          <w:tcPr>
            <w:tcW w:w="2943"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lang w:val="ru-RU"/>
              </w:rPr>
            </w:pPr>
            <w:r w:rsidRPr="00211BF4">
              <w:rPr>
                <w:rFonts w:ascii="Times New Roman" w:hAnsi="Times New Roman"/>
                <w:sz w:val="20"/>
                <w:szCs w:val="20"/>
                <w:lang w:val="ru-RU"/>
              </w:rPr>
              <w:t>в том числе собственные доходы</w:t>
            </w:r>
          </w:p>
        </w:tc>
        <w:tc>
          <w:tcPr>
            <w:tcW w:w="2268" w:type="dxa"/>
          </w:tcPr>
          <w:p w:rsidR="00211BF4" w:rsidRPr="00211BF4" w:rsidRDefault="00211BF4" w:rsidP="0046261C">
            <w:pPr>
              <w:autoSpaceDE w:val="0"/>
              <w:autoSpaceDN w:val="0"/>
              <w:adjustRightInd w:val="0"/>
              <w:spacing w:after="0" w:line="240" w:lineRule="auto"/>
              <w:ind w:firstLine="0"/>
              <w:jc w:val="center"/>
              <w:outlineLvl w:val="3"/>
              <w:rPr>
                <w:rFonts w:ascii="Times New Roman" w:hAnsi="Times New Roman"/>
                <w:sz w:val="20"/>
                <w:szCs w:val="20"/>
              </w:rPr>
            </w:pPr>
            <w:r w:rsidRPr="00211BF4">
              <w:rPr>
                <w:rFonts w:ascii="Times New Roman" w:hAnsi="Times New Roman"/>
                <w:sz w:val="20"/>
                <w:szCs w:val="20"/>
              </w:rPr>
              <w:t>169 932,1</w:t>
            </w:r>
          </w:p>
        </w:tc>
        <w:tc>
          <w:tcPr>
            <w:tcW w:w="2428" w:type="dxa"/>
          </w:tcPr>
          <w:p w:rsidR="00211BF4" w:rsidRPr="00211BF4" w:rsidRDefault="00211BF4" w:rsidP="0046261C">
            <w:pPr>
              <w:autoSpaceDE w:val="0"/>
              <w:autoSpaceDN w:val="0"/>
              <w:adjustRightInd w:val="0"/>
              <w:spacing w:after="0" w:line="240" w:lineRule="auto"/>
              <w:ind w:firstLine="0"/>
              <w:jc w:val="center"/>
              <w:outlineLvl w:val="3"/>
              <w:rPr>
                <w:rFonts w:ascii="Times New Roman" w:hAnsi="Times New Roman"/>
                <w:sz w:val="20"/>
                <w:szCs w:val="20"/>
              </w:rPr>
            </w:pPr>
            <w:r w:rsidRPr="00211BF4">
              <w:rPr>
                <w:rFonts w:ascii="Times New Roman" w:hAnsi="Times New Roman"/>
                <w:sz w:val="20"/>
                <w:szCs w:val="20"/>
              </w:rPr>
              <w:t>170 195,1</w:t>
            </w:r>
          </w:p>
        </w:tc>
        <w:tc>
          <w:tcPr>
            <w:tcW w:w="2372" w:type="dxa"/>
          </w:tcPr>
          <w:p w:rsidR="00211BF4" w:rsidRPr="00211BF4" w:rsidRDefault="00211BF4" w:rsidP="0046261C">
            <w:pPr>
              <w:autoSpaceDE w:val="0"/>
              <w:autoSpaceDN w:val="0"/>
              <w:adjustRightInd w:val="0"/>
              <w:spacing w:after="0" w:line="240" w:lineRule="auto"/>
              <w:ind w:firstLine="0"/>
              <w:jc w:val="center"/>
              <w:outlineLvl w:val="3"/>
              <w:rPr>
                <w:rFonts w:ascii="Times New Roman" w:hAnsi="Times New Roman"/>
                <w:sz w:val="20"/>
                <w:szCs w:val="20"/>
              </w:rPr>
            </w:pPr>
            <w:r w:rsidRPr="00211BF4">
              <w:rPr>
                <w:rFonts w:ascii="Times New Roman" w:hAnsi="Times New Roman"/>
                <w:sz w:val="20"/>
                <w:szCs w:val="20"/>
              </w:rPr>
              <w:t>+263,0</w:t>
            </w:r>
          </w:p>
        </w:tc>
      </w:tr>
      <w:tr w:rsidR="00211BF4" w:rsidRPr="00211BF4" w:rsidTr="00211BF4">
        <w:trPr>
          <w:trHeight w:val="501"/>
        </w:trPr>
        <w:tc>
          <w:tcPr>
            <w:tcW w:w="2943" w:type="dxa"/>
          </w:tcPr>
          <w:p w:rsidR="00211BF4" w:rsidRPr="00211BF4" w:rsidRDefault="00211BF4" w:rsidP="0046261C">
            <w:pPr>
              <w:autoSpaceDE w:val="0"/>
              <w:autoSpaceDN w:val="0"/>
              <w:adjustRightInd w:val="0"/>
              <w:spacing w:after="0" w:line="240" w:lineRule="auto"/>
              <w:ind w:firstLine="0"/>
              <w:outlineLvl w:val="3"/>
              <w:rPr>
                <w:rFonts w:ascii="Times New Roman" w:hAnsi="Times New Roman"/>
                <w:sz w:val="20"/>
                <w:szCs w:val="20"/>
              </w:rPr>
            </w:pPr>
            <w:proofErr w:type="spellStart"/>
            <w:r w:rsidRPr="00211BF4">
              <w:rPr>
                <w:rFonts w:ascii="Times New Roman" w:hAnsi="Times New Roman"/>
                <w:sz w:val="20"/>
                <w:szCs w:val="20"/>
              </w:rPr>
              <w:t>Безвозмездные</w:t>
            </w:r>
            <w:proofErr w:type="spellEnd"/>
            <w:r w:rsidRPr="00211BF4">
              <w:rPr>
                <w:rFonts w:ascii="Times New Roman" w:hAnsi="Times New Roman"/>
                <w:sz w:val="20"/>
                <w:szCs w:val="20"/>
              </w:rPr>
              <w:t xml:space="preserve"> </w:t>
            </w:r>
            <w:proofErr w:type="spellStart"/>
            <w:r w:rsidRPr="00211BF4">
              <w:rPr>
                <w:rFonts w:ascii="Times New Roman" w:hAnsi="Times New Roman"/>
                <w:sz w:val="20"/>
                <w:szCs w:val="20"/>
              </w:rPr>
              <w:t>поступления</w:t>
            </w:r>
            <w:proofErr w:type="spellEnd"/>
          </w:p>
        </w:tc>
        <w:tc>
          <w:tcPr>
            <w:tcW w:w="2268" w:type="dxa"/>
          </w:tcPr>
          <w:p w:rsidR="00211BF4" w:rsidRPr="00211BF4" w:rsidRDefault="00211BF4" w:rsidP="0046261C">
            <w:pPr>
              <w:autoSpaceDE w:val="0"/>
              <w:autoSpaceDN w:val="0"/>
              <w:adjustRightInd w:val="0"/>
              <w:spacing w:after="0" w:line="240" w:lineRule="auto"/>
              <w:ind w:firstLine="0"/>
              <w:jc w:val="center"/>
              <w:outlineLvl w:val="3"/>
              <w:rPr>
                <w:rFonts w:ascii="Times New Roman" w:hAnsi="Times New Roman"/>
                <w:sz w:val="20"/>
                <w:szCs w:val="20"/>
              </w:rPr>
            </w:pPr>
            <w:r w:rsidRPr="00211BF4">
              <w:rPr>
                <w:rFonts w:ascii="Times New Roman" w:hAnsi="Times New Roman"/>
                <w:sz w:val="20"/>
                <w:szCs w:val="20"/>
              </w:rPr>
              <w:t>381 704,7</w:t>
            </w:r>
          </w:p>
        </w:tc>
        <w:tc>
          <w:tcPr>
            <w:tcW w:w="2428" w:type="dxa"/>
          </w:tcPr>
          <w:p w:rsidR="00211BF4" w:rsidRPr="00211BF4" w:rsidRDefault="00211BF4" w:rsidP="0046261C">
            <w:pPr>
              <w:autoSpaceDE w:val="0"/>
              <w:autoSpaceDN w:val="0"/>
              <w:adjustRightInd w:val="0"/>
              <w:spacing w:after="0" w:line="240" w:lineRule="auto"/>
              <w:ind w:firstLine="0"/>
              <w:jc w:val="center"/>
              <w:outlineLvl w:val="3"/>
              <w:rPr>
                <w:rFonts w:ascii="Times New Roman" w:hAnsi="Times New Roman"/>
                <w:sz w:val="20"/>
                <w:szCs w:val="20"/>
              </w:rPr>
            </w:pPr>
            <w:r w:rsidRPr="00211BF4">
              <w:rPr>
                <w:rFonts w:ascii="Times New Roman" w:hAnsi="Times New Roman"/>
                <w:sz w:val="20"/>
                <w:szCs w:val="20"/>
              </w:rPr>
              <w:t>382 490,5</w:t>
            </w:r>
          </w:p>
        </w:tc>
        <w:tc>
          <w:tcPr>
            <w:tcW w:w="2372" w:type="dxa"/>
          </w:tcPr>
          <w:p w:rsidR="00211BF4" w:rsidRPr="00211BF4" w:rsidRDefault="00211BF4" w:rsidP="0046261C">
            <w:pPr>
              <w:autoSpaceDE w:val="0"/>
              <w:autoSpaceDN w:val="0"/>
              <w:adjustRightInd w:val="0"/>
              <w:spacing w:after="0" w:line="240" w:lineRule="auto"/>
              <w:ind w:firstLine="0"/>
              <w:jc w:val="center"/>
              <w:outlineLvl w:val="3"/>
              <w:rPr>
                <w:rFonts w:ascii="Times New Roman" w:hAnsi="Times New Roman"/>
                <w:sz w:val="20"/>
                <w:szCs w:val="20"/>
              </w:rPr>
            </w:pPr>
            <w:r w:rsidRPr="00211BF4">
              <w:rPr>
                <w:rFonts w:ascii="Times New Roman" w:hAnsi="Times New Roman"/>
                <w:sz w:val="20"/>
                <w:szCs w:val="20"/>
              </w:rPr>
              <w:t>+785,8</w:t>
            </w:r>
          </w:p>
        </w:tc>
      </w:tr>
      <w:tr w:rsidR="00211BF4" w:rsidRPr="00211BF4" w:rsidTr="00211BF4">
        <w:trPr>
          <w:trHeight w:val="267"/>
        </w:trPr>
        <w:tc>
          <w:tcPr>
            <w:tcW w:w="2943"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proofErr w:type="spellStart"/>
            <w:r w:rsidRPr="00211BF4">
              <w:rPr>
                <w:rFonts w:ascii="Times New Roman" w:hAnsi="Times New Roman"/>
                <w:sz w:val="20"/>
                <w:szCs w:val="20"/>
              </w:rPr>
              <w:t>Расходы</w:t>
            </w:r>
            <w:proofErr w:type="spellEnd"/>
          </w:p>
        </w:tc>
        <w:tc>
          <w:tcPr>
            <w:tcW w:w="226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534 726,4</w:t>
            </w:r>
          </w:p>
        </w:tc>
        <w:tc>
          <w:tcPr>
            <w:tcW w:w="242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541 048,8</w:t>
            </w:r>
          </w:p>
        </w:tc>
        <w:tc>
          <w:tcPr>
            <w:tcW w:w="2372"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+6 322,4</w:t>
            </w:r>
          </w:p>
        </w:tc>
      </w:tr>
      <w:tr w:rsidR="00211BF4" w:rsidRPr="00211BF4" w:rsidTr="00211BF4">
        <w:trPr>
          <w:trHeight w:val="217"/>
        </w:trPr>
        <w:tc>
          <w:tcPr>
            <w:tcW w:w="2943"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proofErr w:type="spellStart"/>
            <w:r w:rsidRPr="00211BF4">
              <w:rPr>
                <w:rFonts w:ascii="Times New Roman" w:hAnsi="Times New Roman"/>
                <w:sz w:val="20"/>
                <w:szCs w:val="20"/>
              </w:rPr>
              <w:t>Профицит</w:t>
            </w:r>
            <w:proofErr w:type="spellEnd"/>
            <w:r w:rsidRPr="00211BF4">
              <w:rPr>
                <w:rFonts w:ascii="Times New Roman" w:hAnsi="Times New Roman"/>
                <w:sz w:val="20"/>
                <w:szCs w:val="20"/>
              </w:rPr>
              <w:t>,+</w:t>
            </w:r>
          </w:p>
        </w:tc>
        <w:tc>
          <w:tcPr>
            <w:tcW w:w="226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16 910,4</w:t>
            </w:r>
          </w:p>
        </w:tc>
        <w:tc>
          <w:tcPr>
            <w:tcW w:w="2428"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11 636,8</w:t>
            </w:r>
          </w:p>
        </w:tc>
        <w:tc>
          <w:tcPr>
            <w:tcW w:w="2372" w:type="dxa"/>
          </w:tcPr>
          <w:p w:rsidR="00211BF4" w:rsidRPr="00211BF4" w:rsidRDefault="00211BF4" w:rsidP="0046261C">
            <w:pPr>
              <w:autoSpaceDE w:val="0"/>
              <w:autoSpaceDN w:val="0"/>
              <w:adjustRightInd w:val="0"/>
              <w:spacing w:after="0" w:line="240" w:lineRule="auto"/>
              <w:jc w:val="center"/>
              <w:outlineLvl w:val="3"/>
              <w:rPr>
                <w:rFonts w:ascii="Times New Roman" w:hAnsi="Times New Roman"/>
                <w:sz w:val="20"/>
                <w:szCs w:val="20"/>
              </w:rPr>
            </w:pPr>
            <w:r w:rsidRPr="00211BF4">
              <w:rPr>
                <w:rFonts w:ascii="Times New Roman" w:hAnsi="Times New Roman"/>
                <w:sz w:val="20"/>
                <w:szCs w:val="20"/>
              </w:rPr>
              <w:t>-5 273,6</w:t>
            </w:r>
          </w:p>
        </w:tc>
      </w:tr>
    </w:tbl>
    <w:p w:rsidR="00F363CA" w:rsidRDefault="00211BF4" w:rsidP="0046261C">
      <w:pPr>
        <w:pStyle w:val="1"/>
        <w:spacing w:before="0" w:line="240" w:lineRule="auto"/>
        <w:jc w:val="both"/>
        <w:rPr>
          <w:rFonts w:ascii="Times New Roman" w:hAnsi="Times New Roman"/>
          <w:b w:val="0"/>
          <w:i w:val="0"/>
          <w:sz w:val="22"/>
          <w:szCs w:val="22"/>
        </w:rPr>
      </w:pPr>
      <w:r>
        <w:rPr>
          <w:rFonts w:ascii="Times New Roman" w:hAnsi="Times New Roman"/>
          <w:b w:val="0"/>
          <w:i w:val="0"/>
          <w:sz w:val="22"/>
          <w:szCs w:val="22"/>
        </w:rPr>
        <w:t xml:space="preserve">   </w:t>
      </w:r>
      <w:r w:rsidRPr="00211BF4">
        <w:rPr>
          <w:rFonts w:ascii="Times New Roman" w:hAnsi="Times New Roman"/>
          <w:b w:val="0"/>
          <w:i w:val="0"/>
          <w:sz w:val="22"/>
          <w:szCs w:val="22"/>
        </w:rPr>
        <w:t xml:space="preserve">Увеличение доходной части бюджета в проекте Решения о внесении изменений на сумму 1 048,8 тыс. рублей произошло в следствии, увеличения межбюджетных трансфертов на сумму 785,8 тыс. рублей и увеличены собственные доходы местного бюджета в сумме 263,0 тыс. рублей. В проекте Решения о внесении изменений в бюджет городского округа «Город Петровск-Забайкальский» расходная часть бюджета на 2022 год увеличена на 6 322,4 тыс. рублей, то есть на сумму увеличившихся доходов и сумму остатков денежных средств прошлого финансового периода. Профицит местного бюджета на 2022 год сократился на 5 273,6 тыс. рублей и составил 11 636,8 тыс. рублей. </w:t>
      </w:r>
    </w:p>
    <w:p w:rsidR="00E2745A" w:rsidRPr="00E2745A" w:rsidRDefault="00E2745A" w:rsidP="00E2745A">
      <w:pPr>
        <w:spacing w:after="0" w:line="240" w:lineRule="auto"/>
        <w:ind w:firstLine="357"/>
        <w:rPr>
          <w:lang w:val="ru-RU" w:eastAsia="ru-RU" w:bidi="ar-SA"/>
        </w:rPr>
      </w:pPr>
    </w:p>
    <w:p w:rsidR="00405351" w:rsidRPr="00405351" w:rsidRDefault="00237B7B" w:rsidP="00405351">
      <w:pPr>
        <w:pStyle w:val="ab"/>
        <w:numPr>
          <w:ilvl w:val="0"/>
          <w:numId w:val="11"/>
        </w:numPr>
        <w:spacing w:after="0" w:line="240" w:lineRule="auto"/>
        <w:jc w:val="center"/>
        <w:rPr>
          <w:rFonts w:ascii="Times New Roman" w:hAnsi="Times New Roman"/>
          <w:b/>
          <w:lang w:val="ru-RU"/>
        </w:rPr>
      </w:pPr>
      <w:r w:rsidRPr="00405351">
        <w:rPr>
          <w:rFonts w:ascii="Times New Roman" w:hAnsi="Times New Roman"/>
          <w:b/>
          <w:lang w:val="ru-RU"/>
        </w:rPr>
        <w:t>Экспертиза проекта Постановления администрации ГО «Город Пет</w:t>
      </w:r>
      <w:r w:rsidR="0046261C">
        <w:rPr>
          <w:rFonts w:ascii="Times New Roman" w:hAnsi="Times New Roman"/>
          <w:b/>
          <w:lang w:val="ru-RU"/>
        </w:rPr>
        <w:t>ровск-Забайкальский»</w:t>
      </w:r>
      <w:r w:rsidRPr="00405351">
        <w:rPr>
          <w:rFonts w:ascii="Times New Roman" w:hAnsi="Times New Roman"/>
          <w:b/>
          <w:lang w:val="ru-RU"/>
        </w:rPr>
        <w:t xml:space="preserve"> </w:t>
      </w:r>
      <w:r w:rsidR="00405351" w:rsidRPr="00405351">
        <w:rPr>
          <w:rFonts w:ascii="Times New Roman" w:hAnsi="Times New Roman"/>
          <w:b/>
          <w:lang w:val="ru-RU"/>
        </w:rPr>
        <w:t>«О внесении изменений в муниципальную программу «Комплексные меры противодействия злоупотреблению наркотиками, их незаконному обороту и алкоголизации населения на 2022-2023 годы»</w:t>
      </w:r>
    </w:p>
    <w:p w:rsidR="005D6259" w:rsidRPr="00405351" w:rsidRDefault="005D6259" w:rsidP="00405351">
      <w:pPr>
        <w:spacing w:after="0" w:line="240" w:lineRule="auto"/>
        <w:ind w:firstLine="0"/>
        <w:jc w:val="both"/>
        <w:rPr>
          <w:rFonts w:ascii="Times New Roman" w:hAnsi="Times New Roman"/>
          <w:color w:val="000000"/>
          <w:lang w:val="ru-RU"/>
        </w:rPr>
      </w:pPr>
      <w:r w:rsidRPr="00405351">
        <w:rPr>
          <w:rFonts w:ascii="Times New Roman" w:hAnsi="Times New Roman"/>
          <w:color w:val="000000"/>
          <w:lang w:val="ru-RU"/>
        </w:rPr>
        <w:t>По результатам экспертизы установлено следующее:</w:t>
      </w:r>
    </w:p>
    <w:p w:rsidR="00405351" w:rsidRPr="00405351" w:rsidRDefault="00405351" w:rsidP="00405351">
      <w:pPr>
        <w:spacing w:after="0" w:line="240" w:lineRule="auto"/>
        <w:jc w:val="both"/>
        <w:rPr>
          <w:rFonts w:ascii="Times New Roman" w:hAnsi="Times New Roman"/>
          <w:color w:val="000000"/>
          <w:lang w:val="ru-RU"/>
        </w:rPr>
      </w:pPr>
      <w:r w:rsidRPr="00405351">
        <w:rPr>
          <w:rFonts w:ascii="Times New Roman" w:hAnsi="Times New Roman"/>
          <w:color w:val="000000"/>
          <w:lang w:val="ru-RU"/>
        </w:rPr>
        <w:t>1. полномочия администрации городского округа «Город Петровск- Забайкальский» на внесение изменений и реализацию муниципальной Программы не противоречат действующему законодательству;</w:t>
      </w:r>
    </w:p>
    <w:p w:rsidR="00405351" w:rsidRDefault="00405351" w:rsidP="00405351">
      <w:pPr>
        <w:spacing w:after="0" w:line="240" w:lineRule="auto"/>
        <w:jc w:val="both"/>
        <w:rPr>
          <w:rFonts w:ascii="Times New Roman" w:hAnsi="Times New Roman"/>
          <w:color w:val="000000"/>
          <w:lang w:val="ru-RU"/>
        </w:rPr>
      </w:pPr>
      <w:r w:rsidRPr="00405351">
        <w:rPr>
          <w:rFonts w:ascii="Times New Roman" w:hAnsi="Times New Roman"/>
          <w:color w:val="000000"/>
          <w:lang w:val="ru-RU"/>
        </w:rPr>
        <w:t xml:space="preserve">2. внесение изменений в объемы финансирования Программы на 2022 год в общем сумме расходов местного бюджета на 2022 год являются несущественными и не могут повилять на исполнение расходных обязательств городского бюджета первоочередного характера.   </w:t>
      </w:r>
    </w:p>
    <w:p w:rsidR="00E2745A" w:rsidRPr="00405351" w:rsidRDefault="00E2745A" w:rsidP="0046261C">
      <w:pPr>
        <w:spacing w:after="0" w:line="240" w:lineRule="auto"/>
        <w:ind w:firstLine="0"/>
        <w:jc w:val="both"/>
        <w:rPr>
          <w:rFonts w:ascii="Times New Roman" w:hAnsi="Times New Roman"/>
          <w:color w:val="000000"/>
          <w:lang w:val="ru-RU"/>
        </w:rPr>
      </w:pPr>
    </w:p>
    <w:p w:rsidR="00E2745A" w:rsidRDefault="00405351" w:rsidP="00E2745A">
      <w:pPr>
        <w:pStyle w:val="ab"/>
        <w:numPr>
          <w:ilvl w:val="0"/>
          <w:numId w:val="11"/>
        </w:numPr>
        <w:spacing w:after="0" w:line="240" w:lineRule="auto"/>
        <w:jc w:val="center"/>
        <w:rPr>
          <w:rFonts w:ascii="Times New Roman" w:hAnsi="Times New Roman"/>
          <w:b/>
          <w:lang w:val="ru-RU"/>
        </w:rPr>
      </w:pPr>
      <w:r w:rsidRPr="007B24F2">
        <w:rPr>
          <w:rFonts w:ascii="Times New Roman" w:hAnsi="Times New Roman"/>
          <w:b/>
          <w:lang w:val="ru-RU"/>
        </w:rPr>
        <w:t xml:space="preserve">Заключение </w:t>
      </w:r>
      <w:r>
        <w:rPr>
          <w:rFonts w:ascii="Times New Roman" w:hAnsi="Times New Roman"/>
          <w:b/>
          <w:lang w:val="ru-RU"/>
        </w:rPr>
        <w:t>на</w:t>
      </w:r>
      <w:r w:rsidRPr="007B24F2">
        <w:rPr>
          <w:rFonts w:ascii="Times New Roman" w:hAnsi="Times New Roman"/>
          <w:b/>
          <w:lang w:val="ru-RU"/>
        </w:rPr>
        <w:t xml:space="preserve"> отчет об исполнении бюджета городского округа «Город Петровск-Забайкальский» за </w:t>
      </w:r>
      <w:r w:rsidR="00E2745A">
        <w:rPr>
          <w:rFonts w:ascii="Times New Roman" w:hAnsi="Times New Roman"/>
          <w:b/>
          <w:lang w:val="ru-RU"/>
        </w:rPr>
        <w:t>1 квартал 2022</w:t>
      </w:r>
      <w:r w:rsidRPr="007B24F2">
        <w:rPr>
          <w:rFonts w:ascii="Times New Roman" w:hAnsi="Times New Roman"/>
          <w:b/>
          <w:lang w:val="ru-RU"/>
        </w:rPr>
        <w:t xml:space="preserve"> год</w:t>
      </w:r>
      <w:r w:rsidR="00E2745A">
        <w:rPr>
          <w:rFonts w:ascii="Times New Roman" w:hAnsi="Times New Roman"/>
          <w:b/>
          <w:lang w:val="ru-RU"/>
        </w:rPr>
        <w:t>а</w:t>
      </w:r>
    </w:p>
    <w:p w:rsidR="00E2745A" w:rsidRPr="00E2745A" w:rsidRDefault="00E2745A" w:rsidP="00E2745A">
      <w:pPr>
        <w:spacing w:after="0" w:line="240" w:lineRule="auto"/>
        <w:ind w:left="284" w:firstLine="0"/>
        <w:rPr>
          <w:rFonts w:ascii="Times New Roman" w:hAnsi="Times New Roman"/>
          <w:b/>
          <w:lang w:val="ru-RU"/>
        </w:rPr>
      </w:pPr>
      <w:r w:rsidRPr="00E2745A">
        <w:rPr>
          <w:rFonts w:ascii="Times New Roman" w:hAnsi="Times New Roman"/>
          <w:lang w:val="ru-RU"/>
        </w:rPr>
        <w:t xml:space="preserve">Основные параметры бюджета за 1 квартал 2022 года выполнены: </w:t>
      </w:r>
    </w:p>
    <w:p w:rsidR="00E2745A" w:rsidRDefault="00E2745A" w:rsidP="00E2745A">
      <w:pPr>
        <w:spacing w:after="0" w:line="240" w:lineRule="auto"/>
        <w:ind w:firstLine="0"/>
        <w:jc w:val="both"/>
        <w:rPr>
          <w:rFonts w:ascii="Times New Roman" w:hAnsi="Times New Roman"/>
          <w:lang w:val="ru-RU"/>
        </w:rPr>
      </w:pPr>
      <w:r w:rsidRPr="00E2745A">
        <w:rPr>
          <w:rFonts w:ascii="Times New Roman" w:hAnsi="Times New Roman"/>
          <w:lang w:val="ru-RU"/>
        </w:rPr>
        <w:t>- по доходам в объеме 131</w:t>
      </w:r>
      <w:r w:rsidRPr="00E2745A">
        <w:rPr>
          <w:rFonts w:ascii="Times New Roman" w:hAnsi="Times New Roman"/>
        </w:rPr>
        <w:t> </w:t>
      </w:r>
      <w:r w:rsidRPr="00E2745A">
        <w:rPr>
          <w:rFonts w:ascii="Times New Roman" w:hAnsi="Times New Roman"/>
          <w:lang w:val="ru-RU"/>
        </w:rPr>
        <w:t>842,2 тыс. рублей;</w:t>
      </w:r>
    </w:p>
    <w:p w:rsidR="00E2745A" w:rsidRPr="00E2745A" w:rsidRDefault="00E2745A" w:rsidP="00E2745A">
      <w:pPr>
        <w:spacing w:after="0" w:line="240" w:lineRule="auto"/>
        <w:ind w:firstLine="0"/>
        <w:jc w:val="both"/>
        <w:rPr>
          <w:rFonts w:ascii="Times New Roman" w:hAnsi="Times New Roman"/>
          <w:lang w:val="ru-RU"/>
        </w:rPr>
      </w:pPr>
      <w:r w:rsidRPr="00E2745A">
        <w:rPr>
          <w:rFonts w:ascii="Times New Roman" w:hAnsi="Times New Roman"/>
          <w:lang w:val="ru-RU"/>
        </w:rPr>
        <w:t>-по расходам в объеме 129</w:t>
      </w:r>
      <w:r w:rsidRPr="00E2745A">
        <w:rPr>
          <w:rFonts w:ascii="Times New Roman" w:hAnsi="Times New Roman"/>
        </w:rPr>
        <w:t> </w:t>
      </w:r>
      <w:r w:rsidRPr="00E2745A">
        <w:rPr>
          <w:rFonts w:ascii="Times New Roman" w:hAnsi="Times New Roman"/>
          <w:lang w:val="ru-RU"/>
        </w:rPr>
        <w:t>786,3 тыс. рублей;</w:t>
      </w:r>
    </w:p>
    <w:p w:rsidR="00E2745A" w:rsidRPr="00E2745A" w:rsidRDefault="00E2745A" w:rsidP="00E2745A">
      <w:pPr>
        <w:widowControl w:val="0"/>
        <w:spacing w:after="0" w:line="240" w:lineRule="auto"/>
        <w:ind w:firstLine="0"/>
        <w:jc w:val="both"/>
        <w:rPr>
          <w:rFonts w:ascii="Times New Roman" w:hAnsi="Times New Roman"/>
          <w:lang w:val="ru-RU"/>
        </w:rPr>
      </w:pPr>
      <w:r w:rsidRPr="00E2745A">
        <w:rPr>
          <w:rFonts w:ascii="Times New Roman" w:hAnsi="Times New Roman"/>
          <w:lang w:val="ru-RU"/>
        </w:rPr>
        <w:t>- с профицитом бюджета в размере 2</w:t>
      </w:r>
      <w:r w:rsidRPr="00E2745A">
        <w:rPr>
          <w:rFonts w:ascii="Times New Roman" w:hAnsi="Times New Roman"/>
        </w:rPr>
        <w:t> </w:t>
      </w:r>
      <w:r w:rsidRPr="00E2745A">
        <w:rPr>
          <w:rFonts w:ascii="Times New Roman" w:hAnsi="Times New Roman"/>
          <w:lang w:val="ru-RU"/>
        </w:rPr>
        <w:t xml:space="preserve">055,9 тыс. рублей. </w:t>
      </w:r>
    </w:p>
    <w:p w:rsidR="00E2745A" w:rsidRDefault="00E2745A" w:rsidP="00E2745A">
      <w:pPr>
        <w:spacing w:after="0" w:line="240" w:lineRule="auto"/>
        <w:ind w:firstLine="0"/>
        <w:jc w:val="both"/>
        <w:rPr>
          <w:rFonts w:ascii="Times New Roman" w:hAnsi="Times New Roman"/>
          <w:lang w:val="ru-RU"/>
        </w:rPr>
      </w:pPr>
      <w:r w:rsidRPr="00E2745A">
        <w:rPr>
          <w:rFonts w:ascii="Times New Roman" w:hAnsi="Times New Roman"/>
          <w:color w:val="FF0000"/>
          <w:lang w:val="ru-RU"/>
        </w:rPr>
        <w:t xml:space="preserve"> </w:t>
      </w:r>
      <w:r>
        <w:rPr>
          <w:rFonts w:ascii="Times New Roman" w:hAnsi="Times New Roman"/>
          <w:color w:val="FF0000"/>
          <w:lang w:val="ru-RU"/>
        </w:rPr>
        <w:t xml:space="preserve">  </w:t>
      </w:r>
      <w:r w:rsidRPr="00E2745A">
        <w:rPr>
          <w:rFonts w:ascii="Times New Roman" w:hAnsi="Times New Roman"/>
          <w:lang w:val="ru-RU"/>
        </w:rPr>
        <w:t>Поступления налоговых и неналоговых доходов в бюджет городского округа за 1 квартал 2022 года составили 35</w:t>
      </w:r>
      <w:r w:rsidRPr="00E2745A">
        <w:rPr>
          <w:rFonts w:ascii="Times New Roman" w:hAnsi="Times New Roman"/>
        </w:rPr>
        <w:t> </w:t>
      </w:r>
      <w:r w:rsidRPr="00E2745A">
        <w:rPr>
          <w:rFonts w:ascii="Times New Roman" w:hAnsi="Times New Roman"/>
          <w:lang w:val="ru-RU"/>
        </w:rPr>
        <w:t>176,4 рублей или 27% в общей структуре доходов. Безвозмездные поступления составили 96</w:t>
      </w:r>
      <w:r w:rsidRPr="00E2745A">
        <w:rPr>
          <w:rFonts w:ascii="Times New Roman" w:hAnsi="Times New Roman"/>
        </w:rPr>
        <w:t> </w:t>
      </w:r>
      <w:r w:rsidRPr="00E2745A">
        <w:rPr>
          <w:rFonts w:ascii="Times New Roman" w:hAnsi="Times New Roman"/>
          <w:lang w:val="ru-RU"/>
        </w:rPr>
        <w:t xml:space="preserve">665,8 тыс. рублей или 73% в общей структуре доходов. </w:t>
      </w:r>
    </w:p>
    <w:p w:rsidR="00E2745A" w:rsidRDefault="00E2745A" w:rsidP="00E2745A">
      <w:pPr>
        <w:spacing w:after="0" w:line="240" w:lineRule="auto"/>
        <w:ind w:firstLine="0"/>
        <w:jc w:val="both"/>
        <w:rPr>
          <w:rFonts w:ascii="Times New Roman" w:hAnsi="Times New Roman"/>
          <w:lang w:val="ru-RU"/>
        </w:rPr>
      </w:pPr>
      <w:r w:rsidRPr="00E2745A">
        <w:rPr>
          <w:rFonts w:ascii="Times New Roman" w:hAnsi="Times New Roman"/>
          <w:lang w:val="ru-RU"/>
        </w:rPr>
        <w:lastRenderedPageBreak/>
        <w:t xml:space="preserve"> </w:t>
      </w:r>
      <w:r>
        <w:rPr>
          <w:rFonts w:ascii="Times New Roman" w:hAnsi="Times New Roman"/>
          <w:lang w:val="ru-RU"/>
        </w:rPr>
        <w:t xml:space="preserve">  </w:t>
      </w:r>
      <w:r w:rsidRPr="00E2745A">
        <w:rPr>
          <w:rFonts w:ascii="Times New Roman" w:hAnsi="Times New Roman"/>
          <w:lang w:val="ru-RU"/>
        </w:rPr>
        <w:t xml:space="preserve">Целесообразно, при ближайшем внесении изменений в бюджет городского округа, рассмотреть вопрос об увеличении плановых назначений по следующим неналоговым доходам: платежам при использовании природных ресурсов и штрафы, в виду того, что плановые назначения на 2022 год исполнены в течении 1 квартала более чем на 75%.  </w:t>
      </w:r>
    </w:p>
    <w:p w:rsidR="00E2745A" w:rsidRPr="00E2745A" w:rsidRDefault="00E2745A" w:rsidP="00E2745A">
      <w:pPr>
        <w:spacing w:after="0" w:line="240" w:lineRule="auto"/>
        <w:ind w:firstLine="0"/>
        <w:jc w:val="both"/>
        <w:rPr>
          <w:rFonts w:ascii="Times New Roman" w:hAnsi="Times New Roman"/>
          <w:lang w:val="ru-RU"/>
        </w:rPr>
      </w:pPr>
      <w:r>
        <w:rPr>
          <w:rFonts w:ascii="Times New Roman" w:hAnsi="Times New Roman"/>
          <w:lang w:val="ru-RU"/>
        </w:rPr>
        <w:t xml:space="preserve">   </w:t>
      </w:r>
      <w:r w:rsidRPr="00E2745A">
        <w:rPr>
          <w:rFonts w:ascii="Times New Roman" w:hAnsi="Times New Roman"/>
          <w:lang w:val="ru-RU"/>
        </w:rPr>
        <w:t>В общей сумме расходов, расходы на оплату труда и начисления на нее составили 88</w:t>
      </w:r>
      <w:r w:rsidRPr="00E2745A">
        <w:rPr>
          <w:rFonts w:ascii="Times New Roman" w:hAnsi="Times New Roman"/>
        </w:rPr>
        <w:t> </w:t>
      </w:r>
      <w:r w:rsidRPr="00E2745A">
        <w:rPr>
          <w:rFonts w:ascii="Times New Roman" w:hAnsi="Times New Roman"/>
          <w:lang w:val="ru-RU"/>
        </w:rPr>
        <w:t>910,2 тыс. рублей или 68,5%, на оплату коммунальных услуг 27</w:t>
      </w:r>
      <w:r w:rsidRPr="00E2745A">
        <w:rPr>
          <w:rFonts w:ascii="Times New Roman" w:hAnsi="Times New Roman"/>
        </w:rPr>
        <w:t> </w:t>
      </w:r>
      <w:r w:rsidRPr="00E2745A">
        <w:rPr>
          <w:rFonts w:ascii="Times New Roman" w:hAnsi="Times New Roman"/>
          <w:lang w:val="ru-RU"/>
        </w:rPr>
        <w:t xml:space="preserve">449,2 тыс. рублей или 21,1% от общего объема расходов. Таким образом, 89,6% от общего объема расходов было направлено на первоочередные расходы.  </w:t>
      </w:r>
    </w:p>
    <w:p w:rsidR="00E2745A" w:rsidRPr="00E2745A" w:rsidRDefault="00E2745A" w:rsidP="00E2745A">
      <w:pPr>
        <w:spacing w:after="0" w:line="240" w:lineRule="auto"/>
        <w:ind w:firstLine="0"/>
        <w:jc w:val="both"/>
        <w:rPr>
          <w:rFonts w:ascii="Times New Roman" w:hAnsi="Times New Roman"/>
          <w:bCs/>
          <w:lang w:val="ru-RU"/>
        </w:rPr>
      </w:pPr>
      <w:r>
        <w:rPr>
          <w:rFonts w:ascii="Times New Roman" w:hAnsi="Times New Roman"/>
          <w:bCs/>
          <w:lang w:val="ru-RU"/>
        </w:rPr>
        <w:t xml:space="preserve">  </w:t>
      </w:r>
      <w:r w:rsidRPr="00E2745A">
        <w:rPr>
          <w:rFonts w:ascii="Times New Roman" w:hAnsi="Times New Roman"/>
          <w:bCs/>
          <w:lang w:val="ru-RU"/>
        </w:rPr>
        <w:t xml:space="preserve"> В 1 квартале 2022 года городской бюджет сохранил социальную направленность. На указанные цели израсходовано 112</w:t>
      </w:r>
      <w:r w:rsidRPr="00E2745A">
        <w:rPr>
          <w:rFonts w:ascii="Times New Roman" w:hAnsi="Times New Roman"/>
          <w:bCs/>
        </w:rPr>
        <w:t> </w:t>
      </w:r>
      <w:r w:rsidRPr="00E2745A">
        <w:rPr>
          <w:rFonts w:ascii="Times New Roman" w:hAnsi="Times New Roman"/>
          <w:bCs/>
          <w:lang w:val="ru-RU"/>
        </w:rPr>
        <w:t>790,8 тыс. рублей</w:t>
      </w:r>
      <w:r w:rsidRPr="00E2745A">
        <w:rPr>
          <w:rFonts w:ascii="Times New Roman" w:hAnsi="Times New Roman"/>
          <w:bCs/>
        </w:rPr>
        <w:t> </w:t>
      </w:r>
      <w:r w:rsidRPr="00E2745A">
        <w:rPr>
          <w:rFonts w:ascii="Times New Roman" w:hAnsi="Times New Roman"/>
          <w:bCs/>
          <w:lang w:val="ru-RU"/>
        </w:rPr>
        <w:t>или 86,9%, из них: на образование – 101</w:t>
      </w:r>
      <w:r w:rsidRPr="00E2745A">
        <w:rPr>
          <w:rFonts w:ascii="Times New Roman" w:hAnsi="Times New Roman"/>
          <w:bCs/>
        </w:rPr>
        <w:t> </w:t>
      </w:r>
      <w:r w:rsidRPr="00E2745A">
        <w:rPr>
          <w:rFonts w:ascii="Times New Roman" w:hAnsi="Times New Roman"/>
          <w:bCs/>
          <w:lang w:val="ru-RU"/>
        </w:rPr>
        <w:t>699,2 тыс. руб. или 78,4%, на культуру – 7</w:t>
      </w:r>
      <w:r w:rsidRPr="00E2745A">
        <w:rPr>
          <w:rFonts w:ascii="Times New Roman" w:hAnsi="Times New Roman"/>
          <w:bCs/>
        </w:rPr>
        <w:t> </w:t>
      </w:r>
      <w:r w:rsidRPr="00E2745A">
        <w:rPr>
          <w:rFonts w:ascii="Times New Roman" w:hAnsi="Times New Roman"/>
          <w:bCs/>
          <w:lang w:val="ru-RU"/>
        </w:rPr>
        <w:t>900,8 тыс. руб. или 6,0%, на социальную политику – 3</w:t>
      </w:r>
      <w:r w:rsidRPr="00E2745A">
        <w:rPr>
          <w:rFonts w:ascii="Times New Roman" w:hAnsi="Times New Roman"/>
          <w:bCs/>
        </w:rPr>
        <w:t> </w:t>
      </w:r>
      <w:r w:rsidRPr="00E2745A">
        <w:rPr>
          <w:rFonts w:ascii="Times New Roman" w:hAnsi="Times New Roman"/>
          <w:bCs/>
          <w:lang w:val="ru-RU"/>
        </w:rPr>
        <w:t>190,8 тыс. руб. или 2,5%.</w:t>
      </w:r>
    </w:p>
    <w:p w:rsidR="00E2745A" w:rsidRPr="00E2745A" w:rsidRDefault="00E2745A" w:rsidP="00E2745A">
      <w:pPr>
        <w:spacing w:after="0" w:line="240" w:lineRule="auto"/>
        <w:ind w:firstLine="0"/>
        <w:jc w:val="both"/>
        <w:rPr>
          <w:rFonts w:ascii="Times New Roman" w:hAnsi="Times New Roman"/>
          <w:bCs/>
          <w:lang w:val="ru-RU"/>
        </w:rPr>
      </w:pPr>
      <w:r w:rsidRPr="00E2745A">
        <w:rPr>
          <w:rFonts w:ascii="Times New Roman" w:hAnsi="Times New Roman"/>
          <w:bCs/>
          <w:lang w:val="ru-RU"/>
        </w:rPr>
        <w:t xml:space="preserve"> </w:t>
      </w:r>
      <w:r>
        <w:rPr>
          <w:rFonts w:ascii="Times New Roman" w:hAnsi="Times New Roman"/>
          <w:bCs/>
          <w:lang w:val="ru-RU"/>
        </w:rPr>
        <w:t xml:space="preserve">  </w:t>
      </w:r>
      <w:r w:rsidRPr="00E2745A">
        <w:rPr>
          <w:rFonts w:ascii="Times New Roman" w:hAnsi="Times New Roman"/>
          <w:bCs/>
          <w:lang w:val="ru-RU"/>
        </w:rPr>
        <w:t>Общая сумма кредиторской задолженности местного бюджета на 01.04.2022 года составляет 43</w:t>
      </w:r>
      <w:r w:rsidRPr="00E2745A">
        <w:rPr>
          <w:rFonts w:ascii="Times New Roman" w:hAnsi="Times New Roman"/>
          <w:bCs/>
        </w:rPr>
        <w:t> </w:t>
      </w:r>
      <w:r w:rsidRPr="00E2745A">
        <w:rPr>
          <w:rFonts w:ascii="Times New Roman" w:hAnsi="Times New Roman"/>
          <w:bCs/>
          <w:lang w:val="ru-RU"/>
        </w:rPr>
        <w:t>552,6 тыс. рублей, в том числе задолженность по заработной плате и начислениям по ней 17</w:t>
      </w:r>
      <w:r w:rsidRPr="00E2745A">
        <w:rPr>
          <w:rFonts w:ascii="Times New Roman" w:hAnsi="Times New Roman"/>
          <w:bCs/>
        </w:rPr>
        <w:t> </w:t>
      </w:r>
      <w:r w:rsidRPr="00E2745A">
        <w:rPr>
          <w:rFonts w:ascii="Times New Roman" w:hAnsi="Times New Roman"/>
          <w:bCs/>
          <w:lang w:val="ru-RU"/>
        </w:rPr>
        <w:t>042,2 тыс. рублей, коммунальные услуги – 11</w:t>
      </w:r>
      <w:r w:rsidRPr="00E2745A">
        <w:rPr>
          <w:rFonts w:ascii="Times New Roman" w:hAnsi="Times New Roman"/>
          <w:bCs/>
        </w:rPr>
        <w:t> </w:t>
      </w:r>
      <w:r w:rsidRPr="00E2745A">
        <w:rPr>
          <w:rFonts w:ascii="Times New Roman" w:hAnsi="Times New Roman"/>
          <w:bCs/>
          <w:lang w:val="ru-RU"/>
        </w:rPr>
        <w:t>562,8 тыс. рублей.</w:t>
      </w:r>
    </w:p>
    <w:p w:rsidR="00E2745A" w:rsidRDefault="00E2745A" w:rsidP="00E2745A">
      <w:pPr>
        <w:tabs>
          <w:tab w:val="left" w:pos="1134"/>
        </w:tabs>
        <w:suppressAutoHyphens/>
        <w:spacing w:after="0" w:line="240" w:lineRule="auto"/>
        <w:ind w:firstLine="0"/>
        <w:jc w:val="both"/>
        <w:rPr>
          <w:rFonts w:ascii="Times New Roman" w:hAnsi="Times New Roman"/>
          <w:lang w:val="ru-RU"/>
        </w:rPr>
      </w:pPr>
      <w:r w:rsidRPr="00E2745A">
        <w:rPr>
          <w:rFonts w:ascii="Times New Roman" w:hAnsi="Times New Roman"/>
          <w:lang w:val="ru-RU"/>
        </w:rPr>
        <w:t xml:space="preserve"> </w:t>
      </w:r>
      <w:r>
        <w:rPr>
          <w:rFonts w:ascii="Times New Roman" w:hAnsi="Times New Roman"/>
          <w:lang w:val="ru-RU"/>
        </w:rPr>
        <w:t xml:space="preserve"> </w:t>
      </w:r>
      <w:r w:rsidRPr="00E2745A">
        <w:rPr>
          <w:rFonts w:ascii="Times New Roman" w:hAnsi="Times New Roman"/>
          <w:lang w:val="ru-RU"/>
        </w:rPr>
        <w:t xml:space="preserve"> По состоянию на 01.04.2022г. муниципальный долг составил 31</w:t>
      </w:r>
      <w:r w:rsidRPr="00E2745A">
        <w:rPr>
          <w:rFonts w:ascii="Times New Roman" w:hAnsi="Times New Roman"/>
        </w:rPr>
        <w:t> </w:t>
      </w:r>
      <w:r w:rsidRPr="00E2745A">
        <w:rPr>
          <w:rFonts w:ascii="Times New Roman" w:hAnsi="Times New Roman"/>
          <w:lang w:val="ru-RU"/>
        </w:rPr>
        <w:t>422,0 тыс. рублей. В 1 квартале 2022 года погашение и получение бюджетных кредитов не осуществлялось.</w:t>
      </w:r>
    </w:p>
    <w:p w:rsidR="0046261C" w:rsidRPr="00E2745A" w:rsidRDefault="0046261C" w:rsidP="00E2745A">
      <w:pPr>
        <w:tabs>
          <w:tab w:val="left" w:pos="1134"/>
        </w:tabs>
        <w:suppressAutoHyphens/>
        <w:spacing w:after="0" w:line="240" w:lineRule="auto"/>
        <w:ind w:firstLine="0"/>
        <w:jc w:val="both"/>
        <w:rPr>
          <w:rFonts w:ascii="Times New Roman" w:hAnsi="Times New Roman"/>
          <w:lang w:val="ru-RU"/>
        </w:rPr>
      </w:pPr>
    </w:p>
    <w:p w:rsidR="0046261C" w:rsidRPr="0046261C" w:rsidRDefault="0046261C" w:rsidP="0046261C">
      <w:pPr>
        <w:pStyle w:val="ab"/>
        <w:numPr>
          <w:ilvl w:val="0"/>
          <w:numId w:val="11"/>
        </w:numPr>
        <w:spacing w:after="0" w:line="240" w:lineRule="auto"/>
        <w:jc w:val="center"/>
        <w:rPr>
          <w:rFonts w:ascii="Times New Roman" w:hAnsi="Times New Roman"/>
          <w:b/>
          <w:lang w:val="ru-RU"/>
        </w:rPr>
      </w:pPr>
      <w:r w:rsidRPr="0046261C">
        <w:rPr>
          <w:rFonts w:ascii="Times New Roman" w:hAnsi="Times New Roman"/>
          <w:b/>
          <w:lang w:val="ru-RU"/>
        </w:rPr>
        <w:t>Экспертиза проекта Постановления администрации ГО «Город Петр</w:t>
      </w:r>
      <w:r w:rsidRPr="0046261C">
        <w:rPr>
          <w:rFonts w:ascii="Times New Roman" w:hAnsi="Times New Roman"/>
          <w:b/>
          <w:lang w:val="ru-RU"/>
        </w:rPr>
        <w:t xml:space="preserve">овск-Забайкальский» </w:t>
      </w:r>
      <w:r w:rsidRPr="0046261C">
        <w:rPr>
          <w:rFonts w:ascii="Times New Roman" w:hAnsi="Times New Roman"/>
          <w:b/>
          <w:lang w:val="ru-RU"/>
        </w:rPr>
        <w:t>«Об утверждении муниципальной программы «Обеспечение первичных мер пожарной безопасности на территории городского округа «Город Петровск-Забайкальский» на 2022-2024 годы»</w:t>
      </w:r>
    </w:p>
    <w:p w:rsidR="0046261C" w:rsidRPr="0046261C" w:rsidRDefault="0046261C" w:rsidP="0046261C">
      <w:pPr>
        <w:spacing w:after="0" w:line="240" w:lineRule="auto"/>
        <w:ind w:firstLine="0"/>
        <w:jc w:val="both"/>
        <w:rPr>
          <w:rFonts w:ascii="Times New Roman" w:hAnsi="Times New Roman"/>
          <w:color w:val="000000"/>
          <w:lang w:val="ru-RU"/>
        </w:rPr>
      </w:pPr>
      <w:r w:rsidRPr="0046261C">
        <w:rPr>
          <w:rFonts w:ascii="Times New Roman" w:hAnsi="Times New Roman"/>
          <w:color w:val="000000"/>
          <w:lang w:val="ru-RU"/>
        </w:rPr>
        <w:t>1. полномочия администрации городского округа «Город Петровск- Забайкальский» на издание муниципальной Программы не противоречат действующему законодательству;</w:t>
      </w:r>
    </w:p>
    <w:p w:rsidR="0046261C" w:rsidRPr="0046261C" w:rsidRDefault="0046261C" w:rsidP="0046261C">
      <w:pPr>
        <w:spacing w:after="0" w:line="240" w:lineRule="auto"/>
        <w:ind w:firstLine="0"/>
        <w:jc w:val="both"/>
        <w:rPr>
          <w:rFonts w:ascii="Times New Roman" w:hAnsi="Times New Roman"/>
          <w:color w:val="000000"/>
          <w:lang w:val="ru-RU"/>
        </w:rPr>
      </w:pPr>
      <w:r w:rsidRPr="0046261C">
        <w:rPr>
          <w:rFonts w:ascii="Times New Roman" w:hAnsi="Times New Roman"/>
          <w:color w:val="000000"/>
          <w:lang w:val="ru-RU"/>
        </w:rPr>
        <w:t>2. необходимость принятия муниципальной Программы является обоснованной;</w:t>
      </w:r>
    </w:p>
    <w:p w:rsidR="0046261C" w:rsidRPr="0046261C" w:rsidRDefault="0046261C" w:rsidP="0046261C">
      <w:pPr>
        <w:spacing w:after="0" w:line="240" w:lineRule="auto"/>
        <w:ind w:firstLine="0"/>
        <w:jc w:val="both"/>
        <w:rPr>
          <w:rFonts w:ascii="Times New Roman" w:hAnsi="Times New Roman"/>
          <w:color w:val="000000"/>
          <w:lang w:val="ru-RU"/>
        </w:rPr>
      </w:pPr>
      <w:r w:rsidRPr="0046261C">
        <w:rPr>
          <w:rFonts w:ascii="Times New Roman" w:hAnsi="Times New Roman"/>
          <w:color w:val="000000"/>
          <w:lang w:val="ru-RU"/>
        </w:rPr>
        <w:t xml:space="preserve">3. период реализации </w:t>
      </w:r>
      <w:r w:rsidRPr="0046261C">
        <w:rPr>
          <w:rFonts w:ascii="Times New Roman" w:hAnsi="Times New Roman"/>
          <w:lang w:val="ru-RU"/>
        </w:rPr>
        <w:t xml:space="preserve">Программы 2022-2024 годы; </w:t>
      </w:r>
    </w:p>
    <w:p w:rsidR="0046261C" w:rsidRPr="0046261C" w:rsidRDefault="0046261C" w:rsidP="0046261C">
      <w:pPr>
        <w:pStyle w:val="31"/>
        <w:ind w:firstLine="0"/>
        <w:rPr>
          <w:sz w:val="22"/>
          <w:szCs w:val="22"/>
        </w:rPr>
      </w:pPr>
      <w:r w:rsidRPr="0046261C">
        <w:rPr>
          <w:sz w:val="22"/>
          <w:szCs w:val="22"/>
        </w:rPr>
        <w:t>4. программные мероприятия соответствуют установленным целям и задачам.</w:t>
      </w:r>
    </w:p>
    <w:p w:rsidR="00405351" w:rsidRPr="00E2745A" w:rsidRDefault="00405351" w:rsidP="00405351">
      <w:pPr>
        <w:spacing w:after="0" w:line="240" w:lineRule="auto"/>
        <w:ind w:firstLine="0"/>
        <w:jc w:val="both"/>
        <w:rPr>
          <w:rFonts w:ascii="Times New Roman" w:hAnsi="Times New Roman"/>
          <w:color w:val="000000"/>
          <w:sz w:val="24"/>
          <w:szCs w:val="24"/>
          <w:lang w:val="ru-RU"/>
        </w:rPr>
      </w:pPr>
    </w:p>
    <w:sectPr w:rsidR="00405351" w:rsidRPr="00E2745A" w:rsidSect="00691D0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7BF5437"/>
    <w:multiLevelType w:val="hybridMultilevel"/>
    <w:tmpl w:val="84B6C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F20AA"/>
    <w:multiLevelType w:val="hybridMultilevel"/>
    <w:tmpl w:val="4FE44EC2"/>
    <w:lvl w:ilvl="0" w:tplc="56F8C7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30B66600"/>
    <w:multiLevelType w:val="hybridMultilevel"/>
    <w:tmpl w:val="B1A80FB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50B45344"/>
    <w:multiLevelType w:val="hybridMultilevel"/>
    <w:tmpl w:val="05BAF4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510B12"/>
    <w:multiLevelType w:val="hybridMultilevel"/>
    <w:tmpl w:val="05BAF4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9"/>
  </w:num>
  <w:num w:numId="2">
    <w:abstractNumId w:val="2"/>
  </w:num>
  <w:num w:numId="3">
    <w:abstractNumId w:val="11"/>
  </w:num>
  <w:num w:numId="4">
    <w:abstractNumId w:val="10"/>
  </w:num>
  <w:num w:numId="5">
    <w:abstractNumId w:val="12"/>
  </w:num>
  <w:num w:numId="6">
    <w:abstractNumId w:val="0"/>
  </w:num>
  <w:num w:numId="7">
    <w:abstractNumId w:val="6"/>
  </w:num>
  <w:num w:numId="8">
    <w:abstractNumId w:val="5"/>
  </w:num>
  <w:num w:numId="9">
    <w:abstractNumId w:val="3"/>
  </w:num>
  <w:num w:numId="10">
    <w:abstractNumId w:val="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4100"/>
    <w:rsid w:val="000247D5"/>
    <w:rsid w:val="00041539"/>
    <w:rsid w:val="00054121"/>
    <w:rsid w:val="000730DB"/>
    <w:rsid w:val="000A7CE5"/>
    <w:rsid w:val="000D2E92"/>
    <w:rsid w:val="00116DE4"/>
    <w:rsid w:val="001D3C66"/>
    <w:rsid w:val="001F4798"/>
    <w:rsid w:val="00204454"/>
    <w:rsid w:val="00211BF4"/>
    <w:rsid w:val="00212CC5"/>
    <w:rsid w:val="00237B7B"/>
    <w:rsid w:val="00254381"/>
    <w:rsid w:val="002B2021"/>
    <w:rsid w:val="002D2527"/>
    <w:rsid w:val="002E2F94"/>
    <w:rsid w:val="002F79B1"/>
    <w:rsid w:val="00385D51"/>
    <w:rsid w:val="003A0BE9"/>
    <w:rsid w:val="003D50BA"/>
    <w:rsid w:val="003D557F"/>
    <w:rsid w:val="00402EC9"/>
    <w:rsid w:val="00405351"/>
    <w:rsid w:val="00422414"/>
    <w:rsid w:val="004234BD"/>
    <w:rsid w:val="00447924"/>
    <w:rsid w:val="0046261C"/>
    <w:rsid w:val="00464896"/>
    <w:rsid w:val="004A2F69"/>
    <w:rsid w:val="004E4A34"/>
    <w:rsid w:val="005D37CF"/>
    <w:rsid w:val="005D6259"/>
    <w:rsid w:val="005E66FE"/>
    <w:rsid w:val="005F17F6"/>
    <w:rsid w:val="00644FEF"/>
    <w:rsid w:val="00683288"/>
    <w:rsid w:val="00691D0C"/>
    <w:rsid w:val="006C2319"/>
    <w:rsid w:val="006D2D60"/>
    <w:rsid w:val="0070305E"/>
    <w:rsid w:val="00703A28"/>
    <w:rsid w:val="00711C45"/>
    <w:rsid w:val="00795C96"/>
    <w:rsid w:val="007B24F2"/>
    <w:rsid w:val="007F1924"/>
    <w:rsid w:val="00836602"/>
    <w:rsid w:val="00854FA0"/>
    <w:rsid w:val="00870ED6"/>
    <w:rsid w:val="008720F0"/>
    <w:rsid w:val="00872BA1"/>
    <w:rsid w:val="00896BB6"/>
    <w:rsid w:val="008A6340"/>
    <w:rsid w:val="008B3F03"/>
    <w:rsid w:val="00951393"/>
    <w:rsid w:val="009D27B3"/>
    <w:rsid w:val="009D5C4F"/>
    <w:rsid w:val="009F6C32"/>
    <w:rsid w:val="00A15B81"/>
    <w:rsid w:val="00A234B1"/>
    <w:rsid w:val="00A34951"/>
    <w:rsid w:val="00A45CF5"/>
    <w:rsid w:val="00A537FC"/>
    <w:rsid w:val="00AF7B27"/>
    <w:rsid w:val="00B07AD3"/>
    <w:rsid w:val="00B81A0A"/>
    <w:rsid w:val="00BB50B4"/>
    <w:rsid w:val="00BD2302"/>
    <w:rsid w:val="00CD69BE"/>
    <w:rsid w:val="00D04FFE"/>
    <w:rsid w:val="00D108D7"/>
    <w:rsid w:val="00D10B5C"/>
    <w:rsid w:val="00D461CF"/>
    <w:rsid w:val="00D66357"/>
    <w:rsid w:val="00E10ED9"/>
    <w:rsid w:val="00E2745A"/>
    <w:rsid w:val="00E3092D"/>
    <w:rsid w:val="00E74100"/>
    <w:rsid w:val="00EB368E"/>
    <w:rsid w:val="00F0577F"/>
    <w:rsid w:val="00F06C50"/>
    <w:rsid w:val="00F23882"/>
    <w:rsid w:val="00F2537E"/>
    <w:rsid w:val="00F363CA"/>
    <w:rsid w:val="00F7285D"/>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761C-12BD-49BC-A374-E2A5350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45</cp:revision>
  <dcterms:created xsi:type="dcterms:W3CDTF">2018-02-15T06:05:00Z</dcterms:created>
  <dcterms:modified xsi:type="dcterms:W3CDTF">2022-10-10T03:20:00Z</dcterms:modified>
</cp:coreProperties>
</file>