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«ГОРОД </w:t>
      </w:r>
    </w:p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ПЕТРОВСК-ЗАБАЙКАЛЬСКИЙ»</w:t>
      </w:r>
    </w:p>
    <w:p w:rsidR="006D1161" w:rsidRPr="00D57668" w:rsidRDefault="006D1161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D1161" w:rsidRPr="00D57668" w:rsidRDefault="006D1161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074DE4" w:rsidRPr="00D57668" w:rsidRDefault="00074DE4" w:rsidP="00074DE4">
      <w:pPr>
        <w:keepNext/>
        <w:tabs>
          <w:tab w:val="left" w:pos="33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ab/>
      </w:r>
    </w:p>
    <w:p w:rsidR="006D1161" w:rsidRPr="00D57668" w:rsidRDefault="00C86C03" w:rsidP="006D1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28 октября  </w:t>
      </w:r>
      <w:r w:rsidR="00C926A6" w:rsidRPr="00D576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2022 г.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                           </w:t>
      </w:r>
      <w:r w:rsidR="00C926A6" w:rsidRPr="00D5766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3</w:t>
      </w:r>
    </w:p>
    <w:p w:rsidR="006D1161" w:rsidRPr="00D57668" w:rsidRDefault="006D1161" w:rsidP="00C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П–Забайкальский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0A62AD" w:rsidP="006D1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принятии к сведению отчета</w:t>
      </w:r>
      <w:r w:rsidR="006D1161"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исполнении бюджета городского округа «Город Петровск-Забайкальский» за </w:t>
      </w:r>
      <w:r w:rsidR="0032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="00046870" w:rsidRPr="00D5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161"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2022 года</w:t>
      </w: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D57668" w:rsidRDefault="006D1161" w:rsidP="006D1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161" w:rsidRPr="00D57668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gramStart"/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 за </w:t>
      </w:r>
      <w:r w:rsidR="00320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2022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 </w:t>
      </w:r>
      <w:r w:rsidRPr="00D576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6D1161" w:rsidRPr="00D57668" w:rsidRDefault="006D1161" w:rsidP="006D1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1161" w:rsidRPr="001B2525" w:rsidRDefault="006D1161" w:rsidP="006D11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Принять к сведению отчет об исполнении бюджета городского округа «Город Петровск-</w:t>
      </w:r>
      <w:r w:rsidR="00074DE4"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Забайкальский» за </w:t>
      </w:r>
      <w:r w:rsidR="00A8093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 месяцев</w:t>
      </w:r>
      <w:r w:rsidRPr="00D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года, утвержденный Постановлением Администрации городского округа «Город Петровск-</w:t>
      </w:r>
      <w:r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Забайкальский» №</w:t>
      </w:r>
      <w:r w:rsidR="00B43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756</w:t>
      </w:r>
      <w:r w:rsidR="00C045A4"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33B8"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3DBD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5633B8"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 w:rsidRPr="001B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D1161" w:rsidRPr="00D57668" w:rsidRDefault="006D1161" w:rsidP="000468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766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046870" w:rsidRPr="00D57668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Pr="00D57668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Pr="00046870" w:rsidRDefault="00046870" w:rsidP="00046870">
      <w:pPr>
        <w:pStyle w:val="a3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городского округа</w:t>
      </w:r>
    </w:p>
    <w:p w:rsidR="006D1161" w:rsidRPr="00B154F0" w:rsidRDefault="006D1161" w:rsidP="006D11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                                 И.И. </w:t>
      </w:r>
      <w:proofErr w:type="spellStart"/>
      <w:r w:rsidRPr="00B154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Зарыпов</w:t>
      </w:r>
      <w:proofErr w:type="spellEnd"/>
    </w:p>
    <w:p w:rsidR="00C926A6" w:rsidRDefault="00C926A6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870" w:rsidRDefault="00046870" w:rsidP="006D11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1CF" w:rsidRPr="001B31CF" w:rsidRDefault="001B31CF" w:rsidP="001B31CF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ГОРОДСКОГО ОКРУГА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ПЕТРОВСК-ЗАБАЙКАЛЬСКИЙ»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D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                                                     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BD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Петровск-Забайкальский</w:t>
      </w: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городского округа «Город Петровск-Забайкальский» за </w:t>
      </w:r>
      <w:r w:rsidR="00A8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Комитетом по финансам Администрации городского округа «Город Петровск-Забайкальский» отчет об исполнении бюджета городского округа «Город Петровск-Забайкальский» за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руководствуясь ст.27 Устава городского округа «Город Петровск-Забайкальский», Положением «О бюджетном процессе в городском округе «Город Петровск-Забайкальский», принятым решением Думы городского округа «Город Петровск-Забайкальский» от 05.04.2013 г.  № 36, </w:t>
      </w:r>
      <w:r w:rsidRPr="001B3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1B31CF" w:rsidRPr="001B31CF" w:rsidRDefault="001B31CF" w:rsidP="001B31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городского округа «Город Петровск-Забайкальский» за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доходам в сумме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472 100 983,41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 расходам в сумме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445 944 794,79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превышением доходов над расходами в сумме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26 156 188,62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B31CF" w:rsidRPr="001B31CF" w:rsidRDefault="001B31CF" w:rsidP="001B31C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следующие показатели исполнения бюджета городского округа «Город Петровск-Забайкальский» </w:t>
      </w:r>
      <w:r w:rsidR="00A80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девять месяцев</w:t>
      </w: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года:</w:t>
      </w:r>
    </w:p>
    <w:p w:rsidR="001B31CF" w:rsidRPr="001B31CF" w:rsidRDefault="001B31CF" w:rsidP="001B31CF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городского округа «Город Петровск-Забайкальский» согласно приложению №1;</w:t>
      </w:r>
    </w:p>
    <w:p w:rsidR="001B31CF" w:rsidRPr="001B31CF" w:rsidRDefault="001B31CF" w:rsidP="001B31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городского округа «Город Петровск-Забайкальский» по разделам, подразделам, целевым статьям и видам </w:t>
      </w:r>
      <w:proofErr w:type="gram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Федерации</w:t>
      </w:r>
      <w:proofErr w:type="gramEnd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2;</w:t>
      </w:r>
    </w:p>
    <w:p w:rsidR="001B31CF" w:rsidRPr="001B31CF" w:rsidRDefault="001B31CF" w:rsidP="001B31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городского округа «Город Петровск-Забайкальский» по ведомствам, разделам, подразделам, целевым статьям и видам </w:t>
      </w:r>
      <w:proofErr w:type="gram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Российской Федераций</w:t>
      </w:r>
      <w:proofErr w:type="gramEnd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3; </w:t>
      </w: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-источники финансирования дефицита бюджета городского округа «Город Петровск-Забайкальский» согласно приложению № 4.  </w:t>
      </w: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</w:p>
    <w:p w:rsidR="001B31CF" w:rsidRPr="001B31CF" w:rsidRDefault="001B31CF" w:rsidP="001B31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</w:t>
      </w:r>
      <w:r w:rsidRPr="001B31CF">
        <w:rPr>
          <w:rFonts w:ascii="Times New Roman" w:eastAsia="Calibri" w:hAnsi="Times New Roman" w:cs="Times New Roman"/>
          <w:sz w:val="28"/>
          <w:szCs w:val="28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1B31CF" w:rsidRPr="001B31CF" w:rsidRDefault="001B31CF" w:rsidP="001B3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                                            </w:t>
      </w:r>
      <w:proofErr w:type="spellStart"/>
      <w:r w:rsidRPr="001B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И.И.Зарыпов</w:t>
      </w:r>
      <w:proofErr w:type="spellEnd"/>
    </w:p>
    <w:p w:rsidR="001B31CF" w:rsidRPr="001B31CF" w:rsidRDefault="001B31CF" w:rsidP="001B31CF">
      <w:pPr>
        <w:spacing w:line="259" w:lineRule="auto"/>
        <w:rPr>
          <w:rFonts w:ascii="Calibri" w:eastAsia="Calibri" w:hAnsi="Calibri" w:cs="Times New Roman"/>
        </w:rPr>
      </w:pPr>
    </w:p>
    <w:p w:rsidR="00AC1B92" w:rsidRDefault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Pr="00AC1B92" w:rsidRDefault="00AC1B92" w:rsidP="00AC1B92"/>
    <w:p w:rsidR="00AC1B92" w:rsidRDefault="00AC1B92" w:rsidP="00AC1B92">
      <w:pPr>
        <w:tabs>
          <w:tab w:val="left" w:pos="1215"/>
        </w:tabs>
      </w:pPr>
    </w:p>
    <w:p w:rsidR="001B31CF" w:rsidRDefault="001B31CF" w:rsidP="00AC1B92">
      <w:pPr>
        <w:tabs>
          <w:tab w:val="left" w:pos="1215"/>
        </w:tabs>
      </w:pPr>
    </w:p>
    <w:tbl>
      <w:tblPr>
        <w:tblpPr w:leftFromText="180" w:rightFromText="180" w:vertAnchor="text" w:horzAnchor="margin" w:tblpXSpec="center" w:tblpY="-217"/>
        <w:tblW w:w="10065" w:type="dxa"/>
        <w:tblLayout w:type="fixed"/>
        <w:tblLook w:val="04A0"/>
      </w:tblPr>
      <w:tblGrid>
        <w:gridCol w:w="10065"/>
      </w:tblGrid>
      <w:tr w:rsidR="00074DE4" w:rsidRPr="00AC1B92" w:rsidTr="004C03ED">
        <w:trPr>
          <w:trHeight w:val="54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074DE4" w:rsidRPr="00AC1B92" w:rsidTr="004C03E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ГО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"Город Петровск-Забайкальский"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525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43DBD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  <w:r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1B2525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3DBD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B2525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  <w:r w:rsidR="00D57668"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074DE4" w:rsidRPr="00AC1B92" w:rsidTr="004C03ED">
        <w:trPr>
          <w:trHeight w:val="5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ГО </w:t>
            </w:r>
          </w:p>
          <w:p w:rsidR="00074DE4" w:rsidRPr="000F0E71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"Город Петровск-Забайкальский " </w:t>
            </w:r>
          </w:p>
          <w:p w:rsidR="00074DE4" w:rsidRPr="000F0E71" w:rsidRDefault="00074DE4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4C0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девять месяцев</w:t>
            </w:r>
            <w:r w:rsidRPr="000F0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года </w:t>
            </w:r>
          </w:p>
        </w:tc>
      </w:tr>
      <w:tr w:rsidR="00074DE4" w:rsidRPr="001B31CF" w:rsidTr="004C03ED">
        <w:trPr>
          <w:trHeight w:val="10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  <w:p w:rsidR="00074DE4" w:rsidRPr="00D57668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бюджета ГО «Город Петровск-Забайкальский» по кодам </w:t>
            </w:r>
          </w:p>
          <w:p w:rsidR="00074DE4" w:rsidRPr="007A3529" w:rsidRDefault="00074DE4" w:rsidP="004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классификации доходов бюджетов Российской Федерации за </w:t>
            </w:r>
            <w:r w:rsidR="004C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девять месяцев </w:t>
            </w:r>
            <w:r w:rsidRPr="00D57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года</w:t>
            </w:r>
          </w:p>
        </w:tc>
      </w:tr>
      <w:tr w:rsidR="00074DE4" w:rsidRPr="001B31CF" w:rsidTr="004C03E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060" w:type="dxa"/>
        <w:tblInd w:w="-766" w:type="dxa"/>
        <w:tblLook w:val="04A0"/>
      </w:tblPr>
      <w:tblGrid>
        <w:gridCol w:w="5700"/>
        <w:gridCol w:w="2340"/>
        <w:gridCol w:w="2020"/>
      </w:tblGrid>
      <w:tr w:rsidR="004C03ED" w:rsidRPr="004C03ED" w:rsidTr="004C03ED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1-Наименование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2-Утвержденные бюджетные назначения на 2022 г.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3-Исполнено на 01.10.2022 г.</w:t>
            </w:r>
          </w:p>
        </w:tc>
      </w:tr>
      <w:tr w:rsidR="004C03ED" w:rsidRPr="004C03ED" w:rsidTr="004C03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170 195 133,40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119 708 533,01</w:t>
            </w:r>
          </w:p>
        </w:tc>
      </w:tr>
      <w:tr w:rsidR="004C03ED" w:rsidRPr="004C03ED" w:rsidTr="004C03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125 883 913,40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87 166 493,95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11 442 720,00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9 843 278,08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5 315 000,00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4 073 508,83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 4 623,53</w:t>
            </w:r>
          </w:p>
        </w:tc>
      </w:tr>
      <w:tr w:rsidR="004C03ED" w:rsidRPr="004C03ED" w:rsidTr="004C03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2 285,81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1 507 454,88</w:t>
            </w:r>
          </w:p>
        </w:tc>
      </w:tr>
      <w:tr w:rsidR="004C03ED" w:rsidRPr="004C03ED" w:rsidTr="004C03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3 464 900,00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897 487,76</w:t>
            </w:r>
          </w:p>
        </w:tc>
      </w:tr>
      <w:tr w:rsidR="004C03ED" w:rsidRPr="004C03ED" w:rsidTr="004C03ED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12 234 700,00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6 494 099,20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347,17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3 511 300,00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3 606 386,14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0,00</w:t>
            </w:r>
          </w:p>
        </w:tc>
      </w:tr>
      <w:tr w:rsidR="004C03ED" w:rsidRPr="004C03ED" w:rsidTr="004C03ED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2 589 880,10</w:t>
            </w:r>
          </w:p>
        </w:tc>
      </w:tr>
      <w:tr w:rsidR="004C03ED" w:rsidRPr="004C03ED" w:rsidTr="004C03ED">
        <w:trPr>
          <w:trHeight w:val="37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282 100,00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373 438,62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1 110 500,00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1 999 251,03</w:t>
            </w:r>
          </w:p>
        </w:tc>
      </w:tr>
      <w:tr w:rsidR="004C03ED" w:rsidRPr="004C03ED" w:rsidTr="004C03ED">
        <w:trPr>
          <w:trHeight w:val="40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442 770,40</w:t>
            </w:r>
          </w:p>
        </w:tc>
      </w:tr>
      <w:tr w:rsidR="004C03ED" w:rsidRPr="004C03ED" w:rsidTr="004C03ED">
        <w:trPr>
          <w:trHeight w:val="33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716 474,57</w:t>
            </w:r>
          </w:p>
        </w:tc>
      </w:tr>
      <w:tr w:rsidR="004C03ED" w:rsidRPr="004C03ED" w:rsidTr="004C03ED">
        <w:trPr>
          <w:trHeight w:val="82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420 110 607,21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352 392 450,40</w:t>
            </w:r>
          </w:p>
        </w:tc>
      </w:tr>
      <w:tr w:rsidR="004C03ED" w:rsidRPr="004C03ED" w:rsidTr="004C03ED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590 305 740,61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D" w:rsidRPr="004C03ED" w:rsidRDefault="004C03ED" w:rsidP="004C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472 100 983,41</w:t>
            </w:r>
          </w:p>
        </w:tc>
      </w:tr>
    </w:tbl>
    <w:p w:rsidR="004C03ED" w:rsidRDefault="004C03ED">
      <w:r>
        <w:br w:type="page"/>
      </w:r>
    </w:p>
    <w:tbl>
      <w:tblPr>
        <w:tblpPr w:leftFromText="180" w:rightFromText="180" w:vertAnchor="text" w:horzAnchor="margin" w:tblpXSpec="center" w:tblpY="-217"/>
        <w:tblW w:w="10490" w:type="dxa"/>
        <w:tblLayout w:type="fixed"/>
        <w:tblLook w:val="04A0"/>
      </w:tblPr>
      <w:tblGrid>
        <w:gridCol w:w="4395"/>
        <w:gridCol w:w="640"/>
        <w:gridCol w:w="494"/>
        <w:gridCol w:w="1276"/>
        <w:gridCol w:w="638"/>
        <w:gridCol w:w="1488"/>
        <w:gridCol w:w="1559"/>
      </w:tblGrid>
      <w:tr w:rsidR="00EB2E77" w:rsidRPr="001B31CF" w:rsidTr="00074DE4">
        <w:trPr>
          <w:trHeight w:val="345"/>
        </w:trPr>
        <w:tc>
          <w:tcPr>
            <w:tcW w:w="10490" w:type="dxa"/>
            <w:gridSpan w:val="7"/>
            <w:shd w:val="clear" w:color="auto" w:fill="auto"/>
            <w:noWrap/>
            <w:vAlign w:val="bottom"/>
          </w:tcPr>
          <w:p w:rsidR="00EB2E77" w:rsidRPr="00D57668" w:rsidRDefault="00EB2E77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7"/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ГО "Город Петровск-Забайкальский"</w:t>
            </w:r>
          </w:p>
        </w:tc>
      </w:tr>
      <w:tr w:rsidR="00074DE4" w:rsidRPr="001B31CF" w:rsidTr="00D57668">
        <w:trPr>
          <w:trHeight w:val="3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B43DB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 от 13 октября 2022 года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 xml:space="preserve"> "Город Петровск-Забайкальский"</w:t>
            </w:r>
          </w:p>
        </w:tc>
      </w:tr>
      <w:tr w:rsidR="00074DE4" w:rsidRPr="001B31CF" w:rsidTr="00074DE4">
        <w:trPr>
          <w:trHeight w:val="34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D57668" w:rsidRDefault="004C03E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девять месяцев</w:t>
            </w:r>
            <w:r w:rsidR="00074DE4" w:rsidRPr="00D57668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</w:tr>
      <w:tr w:rsidR="00074DE4" w:rsidRPr="001B31CF" w:rsidTr="00074DE4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E4" w:rsidRPr="001B31CF" w:rsidTr="00074DE4">
        <w:trPr>
          <w:trHeight w:val="330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B31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</w:t>
            </w:r>
            <w:proofErr w:type="gramStart"/>
            <w:r w:rsidRPr="001B31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расходов классификации расхо</w:t>
            </w:r>
            <w:r w:rsidR="004C03E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дов бюджетов Российской Федерации</w:t>
            </w:r>
            <w:proofErr w:type="gramEnd"/>
            <w:r w:rsidR="004C03E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за девять месяцев</w:t>
            </w:r>
            <w:r w:rsidRPr="001B31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2022 год</w:t>
            </w:r>
          </w:p>
        </w:tc>
      </w:tr>
      <w:tr w:rsidR="00074DE4" w:rsidRPr="001B31CF" w:rsidTr="00074DE4">
        <w:trPr>
          <w:trHeight w:val="464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74DE4" w:rsidRPr="001B31CF" w:rsidTr="00074DE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E4" w:rsidRPr="001B31CF" w:rsidRDefault="00074DE4" w:rsidP="0007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053" w:rsidRPr="00DE6053" w:rsidRDefault="004C03ED" w:rsidP="004C03ED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pPr w:leftFromText="180" w:rightFromText="180" w:vertAnchor="text" w:horzAnchor="margin" w:tblpXSpec="center" w:tblpY="229"/>
        <w:tblW w:w="10339" w:type="dxa"/>
        <w:tblLayout w:type="fixed"/>
        <w:tblLook w:val="04A0"/>
      </w:tblPr>
      <w:tblGrid>
        <w:gridCol w:w="4660"/>
        <w:gridCol w:w="820"/>
        <w:gridCol w:w="780"/>
        <w:gridCol w:w="1156"/>
        <w:gridCol w:w="740"/>
        <w:gridCol w:w="1024"/>
        <w:gridCol w:w="1159"/>
      </w:tblGrid>
      <w:tr w:rsidR="00051DFF" w:rsidRPr="00051DFF" w:rsidTr="00051DFF">
        <w:trPr>
          <w:trHeight w:val="25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01.10.2022 г. 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86 512,2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49 037,8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ind w:left="-30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7 193,2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7 193,2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7 181,7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</w:tr>
      <w:tr w:rsidR="00051DFF" w:rsidRPr="00051DFF" w:rsidTr="00051DF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DFF" w:rsidRPr="00051DFF" w:rsidRDefault="00051DFF" w:rsidP="000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68 005,1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34 228,0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27 980,2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23 472,6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20 331,0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19 080,0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15 973,2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14 878,4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11 348,9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3 510,6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1 240,9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13 831,3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1 843,3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283,4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1 934,3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Предупреждение и ликвидация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350,2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17 143,9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11 279,8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1 081,7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10 198,1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40 671,9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33 695,2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2021-2025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384 499,6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305 702,0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101 325,6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93 212,2</w:t>
            </w:r>
          </w:p>
        </w:tc>
      </w:tr>
      <w:tr w:rsidR="00051DFF" w:rsidRPr="00051DFF" w:rsidTr="00051DFF">
        <w:trPr>
          <w:trHeight w:val="21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200 779,9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143 572,2</w:t>
            </w:r>
          </w:p>
        </w:tc>
      </w:tr>
      <w:tr w:rsidR="00051DFF" w:rsidRPr="00051DFF" w:rsidTr="00051DFF">
        <w:trPr>
          <w:trHeight w:val="21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051DFF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59 585,6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52 883,4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29 788,9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29 788,9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29 788,9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21 680,2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15 099,6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9 518,7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9 518,7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6 274,4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26 940,8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23 499,6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18 292,0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051DFF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051DFF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6 391,6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5 207,6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1 555,4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 (2021-2023гг.)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12 318,2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355,7</w:t>
            </w:r>
          </w:p>
        </w:tc>
      </w:tr>
      <w:tr w:rsidR="00051DFF" w:rsidRPr="00051DFF" w:rsidTr="00051DFF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ind w:left="-284" w:firstLine="284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8 715,7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051DFF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386,3</w:t>
            </w:r>
          </w:p>
        </w:tc>
      </w:tr>
      <w:tr w:rsidR="00051DFF" w:rsidRPr="00051DFF" w:rsidTr="00051DFF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6 704,6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1 627,3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</w:t>
            </w:r>
          </w:p>
        </w:tc>
      </w:tr>
      <w:tr w:rsidR="00051DFF" w:rsidRPr="00051DFF" w:rsidTr="00051DF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3 907,7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051DF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051DF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051DF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051DF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05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579 712,5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1DFF" w:rsidRPr="00051DFF" w:rsidRDefault="00051DFF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445 944,8</w:t>
            </w:r>
          </w:p>
        </w:tc>
      </w:tr>
    </w:tbl>
    <w:p w:rsidR="00DE6053" w:rsidRPr="00DE6053" w:rsidRDefault="00DE6053" w:rsidP="00DE6053"/>
    <w:p w:rsidR="00DE6053" w:rsidRPr="00DE6053" w:rsidRDefault="00DE6053" w:rsidP="00DE6053"/>
    <w:p w:rsidR="00051DFF" w:rsidRDefault="00051DFF" w:rsidP="00051DFF">
      <w:pPr>
        <w:tabs>
          <w:tab w:val="left" w:pos="1215"/>
        </w:tabs>
        <w:spacing w:after="0"/>
      </w:pPr>
    </w:p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DE6053" w:rsidRPr="00DE6053" w:rsidRDefault="00DE6053" w:rsidP="00DE6053"/>
    <w:p w:rsidR="004C03ED" w:rsidRDefault="004C03ED">
      <w:r>
        <w:br w:type="page"/>
      </w:r>
    </w:p>
    <w:tbl>
      <w:tblPr>
        <w:tblW w:w="10886" w:type="dxa"/>
        <w:tblInd w:w="-885" w:type="dxa"/>
        <w:tblLayout w:type="fixed"/>
        <w:tblLook w:val="04A0"/>
      </w:tblPr>
      <w:tblGrid>
        <w:gridCol w:w="3417"/>
        <w:gridCol w:w="567"/>
        <w:gridCol w:w="709"/>
        <w:gridCol w:w="327"/>
        <w:gridCol w:w="240"/>
        <w:gridCol w:w="411"/>
        <w:gridCol w:w="425"/>
        <w:gridCol w:w="567"/>
        <w:gridCol w:w="65"/>
        <w:gridCol w:w="679"/>
        <w:gridCol w:w="531"/>
        <w:gridCol w:w="850"/>
        <w:gridCol w:w="979"/>
        <w:gridCol w:w="567"/>
        <w:gridCol w:w="552"/>
      </w:tblGrid>
      <w:tr w:rsidR="007A3529" w:rsidRPr="007A3529" w:rsidTr="009A6F63">
        <w:trPr>
          <w:gridAfter w:val="1"/>
          <w:wAfter w:w="552" w:type="dxa"/>
          <w:trHeight w:val="615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 3</w:t>
            </w:r>
          </w:p>
        </w:tc>
      </w:tr>
      <w:tr w:rsidR="007A3529" w:rsidRPr="007A3529" w:rsidTr="009A6F63">
        <w:trPr>
          <w:gridAfter w:val="1"/>
          <w:wAfter w:w="552" w:type="dxa"/>
          <w:trHeight w:val="30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7A3529" w:rsidRPr="007A3529" w:rsidTr="009A6F63">
        <w:trPr>
          <w:gridAfter w:val="1"/>
          <w:wAfter w:w="552" w:type="dxa"/>
          <w:trHeight w:val="30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 xml:space="preserve">ГО "Город </w:t>
            </w:r>
            <w:proofErr w:type="spellStart"/>
            <w:proofErr w:type="gramStart"/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</w:t>
            </w:r>
            <w:proofErr w:type="spellEnd"/>
            <w:proofErr w:type="gramEnd"/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7A3529" w:rsidRPr="007A3529" w:rsidTr="009A6F63">
        <w:trPr>
          <w:gridAfter w:val="1"/>
          <w:wAfter w:w="552" w:type="dxa"/>
          <w:trHeight w:val="30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B43DBD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 от 13 октября 2022 года</w:t>
            </w:r>
          </w:p>
        </w:tc>
      </w:tr>
      <w:tr w:rsidR="007A3529" w:rsidRPr="007A3529" w:rsidTr="009A6F63">
        <w:trPr>
          <w:gridAfter w:val="1"/>
          <w:wAfter w:w="552" w:type="dxa"/>
          <w:trHeight w:val="30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7A3529" w:rsidRPr="007A3529" w:rsidTr="009A6F63">
        <w:trPr>
          <w:gridAfter w:val="1"/>
          <w:wAfter w:w="552" w:type="dxa"/>
          <w:trHeight w:val="8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D57668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7A3529" w:rsidRPr="007A3529" w:rsidTr="009A6F63">
        <w:trPr>
          <w:gridAfter w:val="1"/>
          <w:wAfter w:w="552" w:type="dxa"/>
          <w:trHeight w:val="300"/>
        </w:trPr>
        <w:tc>
          <w:tcPr>
            <w:tcW w:w="103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051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051DFF">
              <w:rPr>
                <w:rFonts w:ascii="Times New Roman" w:eastAsia="Times New Roman" w:hAnsi="Times New Roman" w:cs="Times New Roman"/>
                <w:lang w:eastAsia="ru-RU"/>
              </w:rPr>
              <w:t>девять месяцев</w:t>
            </w: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 xml:space="preserve"> 2022 года"</w:t>
            </w:r>
          </w:p>
        </w:tc>
      </w:tr>
      <w:tr w:rsidR="007A3529" w:rsidRPr="007A3529" w:rsidTr="009A6F63">
        <w:trPr>
          <w:gridAfter w:val="3"/>
          <w:wAfter w:w="2098" w:type="dxa"/>
          <w:trHeight w:val="630"/>
        </w:trPr>
        <w:tc>
          <w:tcPr>
            <w:tcW w:w="8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051DFF" w:rsidP="009A6F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ведомствам, разделам, подразделам, целевым статьям и видам </w:t>
            </w:r>
            <w:proofErr w:type="gramStart"/>
            <w:r w:rsidRPr="00051D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051DF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за девять месяцев 2022 года</w:t>
            </w:r>
          </w:p>
        </w:tc>
      </w:tr>
      <w:tr w:rsidR="007A3529" w:rsidRPr="007A3529" w:rsidTr="009A6F63">
        <w:trPr>
          <w:gridAfter w:val="3"/>
          <w:wAfter w:w="2098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29" w:rsidRPr="007A3529" w:rsidTr="009A6F63">
        <w:trPr>
          <w:gridAfter w:val="3"/>
          <w:wAfter w:w="2098" w:type="dxa"/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3529" w:rsidRPr="007A3529" w:rsidTr="009A6F63">
        <w:trPr>
          <w:gridAfter w:val="3"/>
          <w:wAfter w:w="2098" w:type="dxa"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3529" w:rsidRPr="007A3529" w:rsidRDefault="007A3529" w:rsidP="007A352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7A35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Исполнено на 01.10.2022 год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ind w:right="162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80 407,5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41 923,2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60 828,3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29 030,9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354,6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8 896,8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7 853,9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7 193,2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8 050,3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7 193,2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8 035,3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7 181,7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6 064,0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5 487,6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9A6F63" w:rsidRPr="0005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051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2 589,8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1 994,0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42 321,4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14 221,2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51DFF" w:rsidRPr="00051DFF" w:rsidTr="009A6F63">
        <w:trPr>
          <w:trHeight w:val="9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2 166,1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10 150,9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9 358,3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5 532,4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4 744,4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3 873,9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3 720,3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1 134,7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Центра бухгалтерского и материально-технического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8 047,7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1 843,1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5 854,8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4 775,4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4 770,8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3 681,5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 w:rsidR="009A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последствий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2020-2024 годы"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1 081,7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Капитальный ремонт жилищного фонда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4 295,9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1 619,6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1 308,7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216,8</w:t>
            </w:r>
          </w:p>
        </w:tc>
      </w:tr>
      <w:tr w:rsidR="00051DFF" w:rsidRPr="00051DFF" w:rsidTr="009A6F63">
        <w:trPr>
          <w:trHeight w:val="144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5 009,1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3 246,8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355,7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64 903,8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59 859,2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7 439,9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29 122,0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31 181,1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29 122,0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11 125,2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11 125,2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13 184,3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11 125,2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Государственная поддержка отрасли культуры (ремонт ДХШ)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25 966,7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23 231,1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20 549,2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18 292,0</w:t>
            </w:r>
          </w:p>
        </w:tc>
      </w:tr>
      <w:tr w:rsidR="00051DFF" w:rsidRPr="00051DFF" w:rsidTr="009A6F63">
        <w:trPr>
          <w:trHeight w:val="144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144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13 167,4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11 717,5</w:t>
            </w:r>
          </w:p>
        </w:tc>
      </w:tr>
      <w:tr w:rsidR="00051DFF" w:rsidRPr="00051DFF" w:rsidTr="009A6F63">
        <w:trPr>
          <w:trHeight w:val="46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9A6F63">
        <w:trPr>
          <w:trHeight w:val="43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9A6F63">
        <w:trPr>
          <w:trHeight w:val="46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9A6F63">
        <w:trPr>
          <w:trHeight w:val="10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3 365,5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3 035,5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3 539,0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5 417,5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4 939,1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2 210,9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2 192,3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2 810,4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1 596,9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1 230,7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 (2021-2023гг.)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74 313,5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61 460,8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18 178,0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12 567,1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2 087,8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10 323,7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6 674,7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7 649,2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4 392,6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7 053,2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4 506,2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1 828,0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2 282,1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2 362,4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15 841,7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10 198,1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9A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15 727,0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10 198,1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489,4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7 854,6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38 490,1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объектов теплоэнергетики и капитальный ремонт объектов коммунальной инфраструктуры.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Находящейся в муниципальной собственности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31 803,4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9 294,4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1 555,2</w:t>
            </w:r>
          </w:p>
        </w:tc>
      </w:tr>
      <w:tr w:rsidR="00051DFF" w:rsidRPr="00051DFF" w:rsidTr="009A6F63">
        <w:trPr>
          <w:trHeight w:val="79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2021-2025 годы"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5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58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205,5</w:t>
            </w:r>
          </w:p>
        </w:tc>
      </w:tr>
      <w:tr w:rsidR="00051DFF" w:rsidRPr="00051DFF" w:rsidTr="009A6F63">
        <w:trPr>
          <w:trHeight w:val="69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9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9A6F63"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6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97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образованию, делам молодежи, материнства и детства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360 087,7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282 701,6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349 022,6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274 960,4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101 325,6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93 212,2</w:t>
            </w:r>
          </w:p>
        </w:tc>
      </w:tr>
      <w:tr w:rsidR="00051DFF" w:rsidRPr="00051DFF" w:rsidTr="009A6F63">
        <w:trPr>
          <w:trHeight w:val="19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52 835,2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1 504,9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8 983,7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29 610,5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200 779,9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143 572,3</w:t>
            </w:r>
          </w:p>
        </w:tc>
      </w:tr>
      <w:tr w:rsidR="00051DFF" w:rsidRPr="00051DFF" w:rsidTr="009A6F63">
        <w:trPr>
          <w:trHeight w:val="19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77 528,1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proofErr w:type="gram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9A6F63">
        <w:trPr>
          <w:trHeight w:val="10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301,1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8 584,6</w:t>
            </w:r>
          </w:p>
        </w:tc>
      </w:tr>
      <w:tr w:rsidR="00051DFF" w:rsidRPr="00051DFF" w:rsidTr="009A6F63">
        <w:trPr>
          <w:trHeight w:val="19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1 141,8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</w:t>
            </w:r>
            <w:r w:rsidR="009A6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муниципальных образовательных </w:t>
            </w:r>
            <w:r w:rsidR="009A6F63"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5 288,6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45 202,0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40 932,1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28 404,4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23 761,3</w:t>
            </w: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4 697,9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19 932,4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18 663,7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19 932,4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18 663,7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19 932,4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18 663,7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9A6F63"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051D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17 384,4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120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предоставляемые в целях </w:t>
            </w:r>
            <w:r w:rsidR="009A6F63"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9 518,7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10 477,1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9 518,7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6 713,8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6 274,4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выплаты,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1 891,2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1 763,1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1 348,2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1 537,0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1 136,3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051DFF" w:rsidRPr="00051DFF" w:rsidTr="009A6F63">
        <w:trPr>
          <w:trHeight w:val="96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персоналу,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142,2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1 637,4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2 325,7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7 309,0</w:t>
            </w:r>
          </w:p>
        </w:tc>
      </w:tr>
      <w:tr w:rsidR="00051DFF" w:rsidRPr="00051DFF" w:rsidTr="009A6F63">
        <w:trPr>
          <w:trHeight w:val="144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386,3</w:t>
            </w:r>
          </w:p>
        </w:tc>
      </w:tr>
      <w:tr w:rsidR="00051DFF" w:rsidRPr="00051DFF" w:rsidTr="009A6F63">
        <w:trPr>
          <w:trHeight w:val="144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156,9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6 704,6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1 641,2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1 627,3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1 150,1</w:t>
            </w:r>
          </w:p>
        </w:tc>
      </w:tr>
      <w:tr w:rsidR="00051DFF" w:rsidRPr="00051DFF" w:rsidTr="009A6F63">
        <w:trPr>
          <w:trHeight w:val="72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3 907,7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051DFF" w:rsidRPr="00051DFF" w:rsidTr="009A6F63">
        <w:trPr>
          <w:trHeight w:val="25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3 877,6</w:t>
            </w:r>
          </w:p>
        </w:tc>
      </w:tr>
      <w:tr w:rsidR="00051DFF" w:rsidRPr="00051DFF" w:rsidTr="009A6F63">
        <w:trPr>
          <w:trHeight w:val="480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3 877,6</w:t>
            </w:r>
          </w:p>
        </w:tc>
      </w:tr>
      <w:tr w:rsidR="00051DFF" w:rsidRPr="00051DFF" w:rsidTr="009A6F63">
        <w:trPr>
          <w:trHeight w:val="315"/>
        </w:trPr>
        <w:tc>
          <w:tcPr>
            <w:tcW w:w="5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51DF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579712,5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FF" w:rsidRPr="00051DFF" w:rsidRDefault="00051DFF" w:rsidP="009A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1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445 944,8</w:t>
            </w:r>
          </w:p>
        </w:tc>
      </w:tr>
    </w:tbl>
    <w:p w:rsidR="0092697A" w:rsidRDefault="0092697A" w:rsidP="0092697A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</w:p>
    <w:p w:rsidR="00051DFF" w:rsidRDefault="00051DF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B8D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585B8D" w:rsidRPr="00585B8D" w:rsidRDefault="00585B8D" w:rsidP="00585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10774"/>
      </w:tblGrid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7A3529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ГО "Город Петровск-забайкальский"</w:t>
            </w:r>
          </w:p>
        </w:tc>
      </w:tr>
      <w:tr w:rsidR="00585B8D" w:rsidRPr="007A3529" w:rsidTr="00D57668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935563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756 от 13 октября 2022 года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ГО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D57668" w:rsidRDefault="00585B8D" w:rsidP="00074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668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585B8D" w:rsidRPr="007A3529" w:rsidTr="00074DE4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8D" w:rsidRPr="007A3529" w:rsidRDefault="00585B8D" w:rsidP="009A6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9A6F63">
              <w:rPr>
                <w:rFonts w:ascii="Times New Roman" w:eastAsia="Times New Roman" w:hAnsi="Times New Roman" w:cs="Times New Roman"/>
                <w:lang w:eastAsia="ru-RU"/>
              </w:rPr>
              <w:t>девять месяцев</w:t>
            </w:r>
            <w:r w:rsidRPr="007A3529">
              <w:rPr>
                <w:rFonts w:ascii="Times New Roman" w:eastAsia="Times New Roman" w:hAnsi="Times New Roman" w:cs="Times New Roman"/>
                <w:lang w:eastAsia="ru-RU"/>
              </w:rPr>
              <w:t xml:space="preserve"> 2022 года"</w:t>
            </w:r>
          </w:p>
        </w:tc>
      </w:tr>
    </w:tbl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5B8D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585B8D" w:rsidRPr="00585B8D" w:rsidRDefault="00585B8D" w:rsidP="00585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Петровск-Забайкальский» за </w:t>
      </w:r>
      <w:r w:rsidR="009A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девять месяцев</w:t>
      </w:r>
      <w:r w:rsidRPr="00585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</w:t>
      </w:r>
    </w:p>
    <w:p w:rsidR="00585B8D" w:rsidRPr="00585B8D" w:rsidRDefault="00585B8D" w:rsidP="00585B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8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92"/>
      </w:tblGrid>
      <w:tr w:rsidR="009A6F63" w:rsidRPr="00F95CF5" w:rsidTr="00B43DBD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2752" w:type="dxa"/>
            <w:vMerge w:val="restart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F63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F63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A6F63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F63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01.10.2022 год</w:t>
            </w:r>
          </w:p>
        </w:tc>
      </w:tr>
      <w:tr w:rsidR="009A6F63" w:rsidRPr="00F95CF5" w:rsidTr="00B43DBD">
        <w:trPr>
          <w:trHeight w:val="135"/>
        </w:trPr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-10593,3</w:t>
            </w:r>
          </w:p>
        </w:tc>
        <w:tc>
          <w:tcPr>
            <w:tcW w:w="1292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-26156,2</w:t>
            </w: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-16 910,4</w:t>
            </w:r>
          </w:p>
        </w:tc>
        <w:tc>
          <w:tcPr>
            <w:tcW w:w="1292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-9654,2</w:t>
            </w: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-16 910,4</w:t>
            </w:r>
          </w:p>
        </w:tc>
        <w:tc>
          <w:tcPr>
            <w:tcW w:w="1292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-9654,2</w:t>
            </w: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6317,1</w:t>
            </w:r>
          </w:p>
        </w:tc>
        <w:tc>
          <w:tcPr>
            <w:tcW w:w="1292" w:type="dxa"/>
            <w:shd w:val="clear" w:color="auto" w:fill="auto"/>
          </w:tcPr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7C3DCD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DCD">
              <w:rPr>
                <w:rFonts w:ascii="Times New Roman" w:eastAsia="Times New Roman" w:hAnsi="Times New Roman" w:cs="Times New Roman"/>
                <w:lang w:eastAsia="ru-RU"/>
              </w:rPr>
              <w:t>-16502,0</w:t>
            </w:r>
          </w:p>
        </w:tc>
      </w:tr>
      <w:tr w:rsidR="009A6F63" w:rsidRPr="00F95CF5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-590305,7</w:t>
            </w:r>
          </w:p>
        </w:tc>
        <w:tc>
          <w:tcPr>
            <w:tcW w:w="129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3" w:rsidRPr="00FA1202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-475935,1</w:t>
            </w:r>
          </w:p>
        </w:tc>
      </w:tr>
      <w:tr w:rsidR="009A6F63" w:rsidRPr="008A41AE" w:rsidTr="00B43DBD">
        <w:tc>
          <w:tcPr>
            <w:tcW w:w="1144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CF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596622,8</w:t>
            </w:r>
          </w:p>
          <w:p w:rsidR="009A6F63" w:rsidRPr="00F95CF5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9A6F63" w:rsidRPr="008A41AE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F63" w:rsidRPr="008A41AE" w:rsidRDefault="009A6F63" w:rsidP="00B43D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459433,1</w:t>
            </w:r>
          </w:p>
        </w:tc>
      </w:tr>
    </w:tbl>
    <w:p w:rsidR="00585B8D" w:rsidRPr="00585B8D" w:rsidRDefault="00585B8D" w:rsidP="00585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67" w:rsidRPr="00EA6367" w:rsidRDefault="00EA6367" w:rsidP="008B0F3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6367" w:rsidRPr="00EA6367" w:rsidSect="00E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0F"/>
    <w:rsid w:val="00046870"/>
    <w:rsid w:val="00051DFF"/>
    <w:rsid w:val="00074DE4"/>
    <w:rsid w:val="000A62AD"/>
    <w:rsid w:val="000F0E71"/>
    <w:rsid w:val="001B2525"/>
    <w:rsid w:val="001B31CF"/>
    <w:rsid w:val="003206C3"/>
    <w:rsid w:val="0041180F"/>
    <w:rsid w:val="004552AE"/>
    <w:rsid w:val="004C03ED"/>
    <w:rsid w:val="004C62B0"/>
    <w:rsid w:val="00502BF1"/>
    <w:rsid w:val="005633B8"/>
    <w:rsid w:val="0058152E"/>
    <w:rsid w:val="00585B8D"/>
    <w:rsid w:val="00685C5A"/>
    <w:rsid w:val="006D1161"/>
    <w:rsid w:val="00746290"/>
    <w:rsid w:val="007A3529"/>
    <w:rsid w:val="008251D9"/>
    <w:rsid w:val="008B0F30"/>
    <w:rsid w:val="008E765F"/>
    <w:rsid w:val="0092697A"/>
    <w:rsid w:val="00935563"/>
    <w:rsid w:val="00943612"/>
    <w:rsid w:val="009667CB"/>
    <w:rsid w:val="009A6F63"/>
    <w:rsid w:val="00A76345"/>
    <w:rsid w:val="00A8093E"/>
    <w:rsid w:val="00AC1B92"/>
    <w:rsid w:val="00AF3FB3"/>
    <w:rsid w:val="00B43DBD"/>
    <w:rsid w:val="00B87425"/>
    <w:rsid w:val="00C045A4"/>
    <w:rsid w:val="00C306A4"/>
    <w:rsid w:val="00C331CC"/>
    <w:rsid w:val="00C5111E"/>
    <w:rsid w:val="00C86C03"/>
    <w:rsid w:val="00C926A6"/>
    <w:rsid w:val="00CB0111"/>
    <w:rsid w:val="00D57668"/>
    <w:rsid w:val="00DB2DCE"/>
    <w:rsid w:val="00DE6053"/>
    <w:rsid w:val="00E11D26"/>
    <w:rsid w:val="00EA6367"/>
    <w:rsid w:val="00EB2E77"/>
    <w:rsid w:val="00EB4AF8"/>
    <w:rsid w:val="00F72017"/>
    <w:rsid w:val="00F819A5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61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1D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1DFF"/>
    <w:rPr>
      <w:color w:val="800080"/>
      <w:u w:val="single"/>
    </w:rPr>
  </w:style>
  <w:style w:type="paragraph" w:customStyle="1" w:styleId="xl66">
    <w:name w:val="xl6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0">
    <w:name w:val="xl7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4">
    <w:name w:val="xl7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5">
    <w:name w:val="xl7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51DF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3">
    <w:name w:val="xl103"/>
    <w:basedOn w:val="a"/>
    <w:rsid w:val="00051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4DD0-A065-498E-852A-106EDB76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45</Pages>
  <Words>18661</Words>
  <Characters>106368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2022-04-18T06:29:00Z</dcterms:created>
  <dcterms:modified xsi:type="dcterms:W3CDTF">2022-11-10T00:15:00Z</dcterms:modified>
</cp:coreProperties>
</file>