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E2" w:rsidRPr="00BA45E2" w:rsidRDefault="00C730D8" w:rsidP="00BA45E2">
      <w:pPr>
        <w:jc w:val="both"/>
        <w:rPr>
          <w:rFonts w:ascii="Times New Roman" w:hAnsi="Times New Roman" w:cs="Times New Roman"/>
        </w:rPr>
      </w:pPr>
      <w:r>
        <w:rPr>
          <w:rFonts w:ascii="Times New Roman" w:hAnsi="Times New Roman" w:cs="Times New Roman"/>
        </w:rPr>
        <w:t xml:space="preserve">   В</w:t>
      </w:r>
      <w:r w:rsidR="000725B4">
        <w:rPr>
          <w:rFonts w:ascii="Times New Roman" w:hAnsi="Times New Roman" w:cs="Times New Roman"/>
        </w:rPr>
        <w:t>о</w:t>
      </w:r>
      <w:r>
        <w:rPr>
          <w:rFonts w:ascii="Times New Roman" w:hAnsi="Times New Roman" w:cs="Times New Roman"/>
        </w:rPr>
        <w:t xml:space="preserve"> I</w:t>
      </w:r>
      <w:r w:rsidR="00C1182C">
        <w:rPr>
          <w:rFonts w:ascii="Times New Roman" w:hAnsi="Times New Roman" w:cs="Times New Roman"/>
          <w:lang w:val="en-US"/>
        </w:rPr>
        <w:t>I</w:t>
      </w:r>
      <w:r w:rsidR="000725B4">
        <w:rPr>
          <w:rFonts w:ascii="Times New Roman" w:hAnsi="Times New Roman" w:cs="Times New Roman"/>
          <w:lang w:val="en-US"/>
        </w:rPr>
        <w:t>I</w:t>
      </w:r>
      <w:r>
        <w:rPr>
          <w:rFonts w:ascii="Times New Roman" w:hAnsi="Times New Roman" w:cs="Times New Roman"/>
        </w:rPr>
        <w:t xml:space="preserve"> квартале 2023</w:t>
      </w:r>
      <w:r w:rsidR="00BA45E2" w:rsidRPr="00BA45E2">
        <w:rPr>
          <w:rFonts w:ascii="Times New Roman" w:hAnsi="Times New Roman" w:cs="Times New Roman"/>
        </w:rPr>
        <w:t xml:space="preserve"> года Председателем Контрольно-счетного органа было осуществлено </w:t>
      </w:r>
      <w:r w:rsidR="00C1182C">
        <w:rPr>
          <w:rFonts w:ascii="Times New Roman" w:hAnsi="Times New Roman" w:cs="Times New Roman"/>
        </w:rPr>
        <w:t>четыре</w:t>
      </w:r>
      <w:r w:rsidR="00BA45E2" w:rsidRPr="00BA45E2">
        <w:rPr>
          <w:rFonts w:ascii="Times New Roman" w:hAnsi="Times New Roman" w:cs="Times New Roman"/>
        </w:rPr>
        <w:t xml:space="preserve"> экспертно-аналитических мероприятий, а именно:</w:t>
      </w:r>
    </w:p>
    <w:p w:rsidR="00C1182C" w:rsidRDefault="00BA45E2" w:rsidP="00C1182C">
      <w:pPr>
        <w:jc w:val="both"/>
        <w:rPr>
          <w:rFonts w:ascii="Times New Roman" w:hAnsi="Times New Roman" w:cs="Times New Roman"/>
          <w:b/>
        </w:rPr>
      </w:pPr>
      <w:r w:rsidRPr="00084609">
        <w:rPr>
          <w:rFonts w:ascii="Times New Roman" w:hAnsi="Times New Roman" w:cs="Times New Roman"/>
          <w:b/>
        </w:rPr>
        <w:t>1)</w:t>
      </w:r>
      <w:r w:rsidRPr="00BA45E2">
        <w:rPr>
          <w:rFonts w:ascii="Times New Roman" w:hAnsi="Times New Roman" w:cs="Times New Roman"/>
        </w:rPr>
        <w:tab/>
      </w:r>
      <w:r w:rsidRPr="00BA45E2">
        <w:rPr>
          <w:rFonts w:ascii="Times New Roman" w:hAnsi="Times New Roman" w:cs="Times New Roman"/>
          <w:b/>
        </w:rPr>
        <w:t xml:space="preserve">Экспертиза </w:t>
      </w:r>
      <w:r w:rsidR="00C1182C" w:rsidRPr="00C1182C">
        <w:rPr>
          <w:rFonts w:ascii="Times New Roman" w:hAnsi="Times New Roman" w:cs="Times New Roman"/>
          <w:b/>
        </w:rPr>
        <w:t>на отчет об исполнении бюджета городского округа «Город Петровск-Забайкальский» за первое полугодие 2023 года</w:t>
      </w:r>
    </w:p>
    <w:p w:rsidR="00BA45E2" w:rsidRPr="00BA45E2" w:rsidRDefault="00BA45E2" w:rsidP="00C1182C">
      <w:pPr>
        <w:jc w:val="both"/>
        <w:rPr>
          <w:rFonts w:ascii="Times New Roman" w:hAnsi="Times New Roman" w:cs="Times New Roman"/>
        </w:rPr>
      </w:pPr>
      <w:r w:rsidRPr="00BA45E2">
        <w:rPr>
          <w:rFonts w:ascii="Times New Roman" w:hAnsi="Times New Roman" w:cs="Times New Roman"/>
        </w:rPr>
        <w:t>По результатам экспертизы установлено:</w:t>
      </w:r>
    </w:p>
    <w:p w:rsidR="00C1182C" w:rsidRPr="00C1182C" w:rsidRDefault="00C1182C" w:rsidP="00C1182C">
      <w:pPr>
        <w:jc w:val="both"/>
        <w:rPr>
          <w:rFonts w:ascii="Times New Roman" w:eastAsia="Times New Roman" w:hAnsi="Times New Roman" w:cs="Times New Roman"/>
          <w:color w:val="000000"/>
          <w:lang w:eastAsia="ru-RU"/>
        </w:rPr>
      </w:pPr>
      <w:r w:rsidRPr="00C1182C">
        <w:rPr>
          <w:rFonts w:ascii="Times New Roman" w:eastAsia="Times New Roman" w:hAnsi="Times New Roman" w:cs="Times New Roman"/>
          <w:color w:val="000000"/>
          <w:lang w:eastAsia="ru-RU"/>
        </w:rPr>
        <w:t xml:space="preserve">1. Основные параметры бюджета за 1 полугодие 2023 года выполнены: </w:t>
      </w:r>
    </w:p>
    <w:p w:rsidR="00C1182C" w:rsidRPr="00C1182C" w:rsidRDefault="00C1182C" w:rsidP="00C1182C">
      <w:pPr>
        <w:jc w:val="both"/>
        <w:rPr>
          <w:rFonts w:ascii="Times New Roman" w:eastAsia="Times New Roman" w:hAnsi="Times New Roman" w:cs="Times New Roman"/>
          <w:color w:val="000000"/>
          <w:lang w:eastAsia="ru-RU"/>
        </w:rPr>
      </w:pPr>
      <w:r w:rsidRPr="00C1182C">
        <w:rPr>
          <w:rFonts w:ascii="Times New Roman" w:eastAsia="Times New Roman" w:hAnsi="Times New Roman" w:cs="Times New Roman"/>
          <w:color w:val="000000"/>
          <w:lang w:eastAsia="ru-RU"/>
        </w:rPr>
        <w:t>- по доходам в объеме 444 292,0 тыс. рублей;</w:t>
      </w:r>
    </w:p>
    <w:p w:rsidR="00C1182C" w:rsidRPr="00C1182C" w:rsidRDefault="00C1182C" w:rsidP="00C1182C">
      <w:pPr>
        <w:jc w:val="both"/>
        <w:rPr>
          <w:rFonts w:ascii="Times New Roman" w:eastAsia="Times New Roman" w:hAnsi="Times New Roman" w:cs="Times New Roman"/>
          <w:color w:val="000000"/>
          <w:lang w:eastAsia="ru-RU"/>
        </w:rPr>
      </w:pPr>
      <w:r w:rsidRPr="00C1182C">
        <w:rPr>
          <w:rFonts w:ascii="Times New Roman" w:eastAsia="Times New Roman" w:hAnsi="Times New Roman" w:cs="Times New Roman"/>
          <w:color w:val="000000"/>
          <w:lang w:eastAsia="ru-RU"/>
        </w:rPr>
        <w:t>- по расходам в объеме 413 943,7 тыс. рублей;</w:t>
      </w:r>
    </w:p>
    <w:p w:rsidR="00C1182C" w:rsidRPr="00C1182C" w:rsidRDefault="00C1182C" w:rsidP="00C1182C">
      <w:pPr>
        <w:jc w:val="both"/>
        <w:rPr>
          <w:rFonts w:ascii="Times New Roman" w:eastAsia="Times New Roman" w:hAnsi="Times New Roman" w:cs="Times New Roman"/>
          <w:color w:val="000000"/>
          <w:lang w:eastAsia="ru-RU"/>
        </w:rPr>
      </w:pPr>
      <w:r w:rsidRPr="00C1182C">
        <w:rPr>
          <w:rFonts w:ascii="Times New Roman" w:eastAsia="Times New Roman" w:hAnsi="Times New Roman" w:cs="Times New Roman"/>
          <w:color w:val="000000"/>
          <w:lang w:eastAsia="ru-RU"/>
        </w:rPr>
        <w:t xml:space="preserve">- с профицитом бюджета в размере 30 348,3 тыс. рублей. </w:t>
      </w:r>
    </w:p>
    <w:p w:rsidR="00C1182C" w:rsidRPr="00C1182C" w:rsidRDefault="00C1182C" w:rsidP="00C1182C">
      <w:pPr>
        <w:jc w:val="both"/>
        <w:rPr>
          <w:rFonts w:ascii="Times New Roman" w:eastAsia="Times New Roman" w:hAnsi="Times New Roman" w:cs="Times New Roman"/>
          <w:color w:val="000000"/>
          <w:lang w:eastAsia="ru-RU"/>
        </w:rPr>
      </w:pPr>
      <w:r w:rsidRPr="00C1182C">
        <w:rPr>
          <w:rFonts w:ascii="Times New Roman" w:eastAsia="Times New Roman" w:hAnsi="Times New Roman" w:cs="Times New Roman"/>
          <w:color w:val="000000"/>
          <w:lang w:eastAsia="ru-RU"/>
        </w:rPr>
        <w:t xml:space="preserve">   2. Поступления налоговых и неналоговых доходов в бюджет городского округа за 1 полугодие 2023 года составили 86 841,1 рублей или 20% в общей структуре доходов. Безвозмездные поступления составили 357 450,9 тыс. рублей или 80% в общей структуре доходов. </w:t>
      </w:r>
    </w:p>
    <w:p w:rsidR="00C1182C" w:rsidRPr="00C1182C" w:rsidRDefault="00C1182C" w:rsidP="00C1182C">
      <w:pPr>
        <w:jc w:val="both"/>
        <w:rPr>
          <w:rFonts w:ascii="Times New Roman" w:eastAsia="Times New Roman" w:hAnsi="Times New Roman" w:cs="Times New Roman"/>
          <w:color w:val="000000"/>
          <w:lang w:eastAsia="ru-RU"/>
        </w:rPr>
      </w:pPr>
      <w:r w:rsidRPr="00C1182C">
        <w:rPr>
          <w:rFonts w:ascii="Times New Roman" w:eastAsia="Times New Roman" w:hAnsi="Times New Roman" w:cs="Times New Roman"/>
          <w:color w:val="000000"/>
          <w:lang w:eastAsia="ru-RU"/>
        </w:rPr>
        <w:t xml:space="preserve">   3. Плановые бюджетные назначения по таким категориям неналоговых доходов, как поступления от продажи материальных активов и прочие неналоговые доходы, на 01.07.2023 года исполнены на 185,3% и 326,2% соответственно.</w:t>
      </w:r>
    </w:p>
    <w:p w:rsidR="00C1182C" w:rsidRPr="00C1182C" w:rsidRDefault="00C1182C" w:rsidP="00C1182C">
      <w:pPr>
        <w:jc w:val="both"/>
        <w:rPr>
          <w:rFonts w:ascii="Times New Roman" w:eastAsia="Times New Roman" w:hAnsi="Times New Roman" w:cs="Times New Roman"/>
          <w:color w:val="000000"/>
          <w:lang w:eastAsia="ru-RU"/>
        </w:rPr>
      </w:pPr>
      <w:r w:rsidRPr="00C1182C">
        <w:rPr>
          <w:rFonts w:ascii="Times New Roman" w:eastAsia="Times New Roman" w:hAnsi="Times New Roman" w:cs="Times New Roman"/>
          <w:color w:val="000000"/>
          <w:lang w:eastAsia="ru-RU"/>
        </w:rPr>
        <w:t xml:space="preserve">   4.  В общей сумме расходов расходы на оплату труда и начисления на нее составили 197 844,6 тыс. рублей или 47,7 % от общего объема расходов и на оплату коммунальных услуг 48 869,5 тыс. рублей или 28,3% от общего объема расходов бюджета городского округа. Таким образом, 76% от общего объема расходов было направлено на первоочередные расходы.  </w:t>
      </w:r>
    </w:p>
    <w:p w:rsidR="00C1182C" w:rsidRPr="00C1182C" w:rsidRDefault="00C1182C" w:rsidP="00C1182C">
      <w:pPr>
        <w:jc w:val="both"/>
        <w:rPr>
          <w:rFonts w:ascii="Times New Roman" w:eastAsia="Times New Roman" w:hAnsi="Times New Roman" w:cs="Times New Roman"/>
          <w:color w:val="000000"/>
          <w:lang w:eastAsia="ru-RU"/>
        </w:rPr>
      </w:pPr>
      <w:r w:rsidRPr="00C1182C">
        <w:rPr>
          <w:rFonts w:ascii="Times New Roman" w:eastAsia="Times New Roman" w:hAnsi="Times New Roman" w:cs="Times New Roman"/>
          <w:color w:val="000000"/>
          <w:lang w:eastAsia="ru-RU"/>
        </w:rPr>
        <w:t xml:space="preserve">   5. В 1 полугодии 2023 года городской бюджет сохранил социальную направленность. На указанные цели израсходовано 306 095,0 тыс. рублей или 73,9% от общего объема произведенных расходов, из них: на образование – 277 814,6 тыс. руб. или 67,1%, на культуру – 18 687,3 тыс. руб. или 4,5%, на социальную политику – 9 593,1 тыс. руб. или 2,3%.</w:t>
      </w:r>
    </w:p>
    <w:p w:rsidR="00C1182C" w:rsidRPr="00C1182C" w:rsidRDefault="00C1182C" w:rsidP="00C1182C">
      <w:pPr>
        <w:jc w:val="both"/>
        <w:rPr>
          <w:rFonts w:ascii="Times New Roman" w:eastAsia="Times New Roman" w:hAnsi="Times New Roman" w:cs="Times New Roman"/>
          <w:color w:val="000000"/>
          <w:lang w:eastAsia="ru-RU"/>
        </w:rPr>
      </w:pPr>
      <w:r w:rsidRPr="00C1182C">
        <w:rPr>
          <w:rFonts w:ascii="Times New Roman" w:eastAsia="Times New Roman" w:hAnsi="Times New Roman" w:cs="Times New Roman"/>
          <w:color w:val="000000"/>
          <w:lang w:eastAsia="ru-RU"/>
        </w:rPr>
        <w:t xml:space="preserve">   6. Общая сумма кредиторской задолженности на 01.07.2023 г. составила 65 209,8 тыс. рублей. Задолженность по заработной плате и начислениям по ней - 45 977,0 тыс. рублей (текущая кредиторская задолженность). Прочая кредиторская задолженность оставила 19 232,8 тыс. рублей, из них просроченная задолженность - 7 449,1 тыс. рублей (в том числе за прочие работы и услуги, а также компенсация расходов депутатам).</w:t>
      </w:r>
    </w:p>
    <w:p w:rsidR="00C1182C" w:rsidRPr="00C1182C" w:rsidRDefault="00C1182C" w:rsidP="00C1182C">
      <w:pPr>
        <w:jc w:val="both"/>
        <w:rPr>
          <w:rFonts w:ascii="Times New Roman" w:eastAsia="Times New Roman" w:hAnsi="Times New Roman" w:cs="Times New Roman"/>
          <w:color w:val="000000"/>
          <w:lang w:eastAsia="ru-RU"/>
        </w:rPr>
      </w:pPr>
      <w:r w:rsidRPr="00C1182C">
        <w:rPr>
          <w:rFonts w:ascii="Times New Roman" w:eastAsia="Times New Roman" w:hAnsi="Times New Roman" w:cs="Times New Roman"/>
          <w:color w:val="000000"/>
          <w:lang w:eastAsia="ru-RU"/>
        </w:rPr>
        <w:t xml:space="preserve">    7.  По состоянию на 01.07.2023 года муниципальный долг составил 16 968,76 тыс. рублей.</w:t>
      </w:r>
    </w:p>
    <w:p w:rsidR="00C1182C" w:rsidRDefault="00C1182C" w:rsidP="00C1182C">
      <w:pPr>
        <w:jc w:val="both"/>
        <w:rPr>
          <w:rFonts w:ascii="Times New Roman" w:eastAsia="Times New Roman" w:hAnsi="Times New Roman" w:cs="Times New Roman"/>
          <w:color w:val="000000"/>
          <w:lang w:eastAsia="ru-RU"/>
        </w:rPr>
      </w:pPr>
      <w:r w:rsidRPr="00C1182C">
        <w:rPr>
          <w:rFonts w:ascii="Times New Roman" w:eastAsia="Times New Roman" w:hAnsi="Times New Roman" w:cs="Times New Roman"/>
          <w:color w:val="000000"/>
          <w:lang w:eastAsia="ru-RU"/>
        </w:rPr>
        <w:t xml:space="preserve">    8. На 2023 год утверждено два резервных фонда, в том числе дополнительный резервный фонд (счет 700600), зарезервированный иным образом, в сумме 4 714,9 тыс. рублей, а также резервный фонд местной администрации (счет 700500) в сумме 4 000,0 тыс. рублей. В течение 1 полугодия 2023 года из резервного фонда администрации израсходовано 1 872,9 тыс. рублей, а из дополнительного резервного фонда - бюджетные ассигнования в размере 4 473,3 тыс. рублей были передвинуты на обеспечение антитеррористической защищенности объектов капитального ремонта, из которых израсходовано 90,3 тыс. рублей. Остаток средств резервного фонда администрации городского округа (счет 700500) по состоянию на 01.07.2023 года составил 2 127,1 тыс. рублей, а остаток бюджетных ассигнований дополнительного резервного фонда (счет 700600) на 01.07.2023г. составил 241,6 тыс. рублей. </w:t>
      </w:r>
    </w:p>
    <w:p w:rsidR="00C1182C" w:rsidRDefault="00BA45E2" w:rsidP="00B9351D">
      <w:pPr>
        <w:jc w:val="both"/>
        <w:rPr>
          <w:rFonts w:ascii="Times New Roman" w:hAnsi="Times New Roman" w:cs="Times New Roman"/>
          <w:b/>
        </w:rPr>
      </w:pPr>
      <w:r w:rsidRPr="00084609">
        <w:rPr>
          <w:rFonts w:ascii="Times New Roman" w:hAnsi="Times New Roman" w:cs="Times New Roman"/>
          <w:b/>
        </w:rPr>
        <w:t>2)</w:t>
      </w:r>
      <w:r w:rsidRPr="00BA45E2">
        <w:rPr>
          <w:rFonts w:ascii="Times New Roman" w:hAnsi="Times New Roman" w:cs="Times New Roman"/>
        </w:rPr>
        <w:tab/>
      </w:r>
      <w:r w:rsidRPr="00BA45E2">
        <w:rPr>
          <w:rFonts w:ascii="Times New Roman" w:hAnsi="Times New Roman" w:cs="Times New Roman"/>
          <w:b/>
        </w:rPr>
        <w:t xml:space="preserve">Экспертиза </w:t>
      </w:r>
      <w:r w:rsidR="00C1182C" w:rsidRPr="00C1182C">
        <w:rPr>
          <w:rFonts w:ascii="Times New Roman" w:hAnsi="Times New Roman" w:cs="Times New Roman"/>
          <w:b/>
        </w:rPr>
        <w:t xml:space="preserve">по результатам проведения совместного экспертно-аналитического мероприятия по контролю реализации результатов контрольного мероприятия «Проверка фонда оплаты труда, финансируемого из местного бюджета казенных и бюджетных учреждений, а также органов местного самоуправления городского округа «Город Петровск-Забайкальский» за 2021 год и истекший период 2022 года», проведенного контрольно-счетным органом с 08.04.2022 г. по 23.05.2022 </w:t>
      </w:r>
      <w:proofErr w:type="gramStart"/>
      <w:r w:rsidR="00C1182C" w:rsidRPr="00C1182C">
        <w:rPr>
          <w:rFonts w:ascii="Times New Roman" w:hAnsi="Times New Roman" w:cs="Times New Roman"/>
          <w:b/>
        </w:rPr>
        <w:t>г..</w:t>
      </w:r>
      <w:proofErr w:type="gramEnd"/>
    </w:p>
    <w:p w:rsidR="00BA45E2" w:rsidRPr="00BA45E2" w:rsidRDefault="00BA45E2" w:rsidP="00B9351D">
      <w:pPr>
        <w:jc w:val="both"/>
        <w:rPr>
          <w:rFonts w:ascii="Times New Roman" w:hAnsi="Times New Roman" w:cs="Times New Roman"/>
        </w:rPr>
      </w:pPr>
      <w:r w:rsidRPr="00BA45E2">
        <w:rPr>
          <w:rFonts w:ascii="Times New Roman" w:hAnsi="Times New Roman" w:cs="Times New Roman"/>
        </w:rPr>
        <w:t>По результатам экспертизы установлено:</w:t>
      </w:r>
    </w:p>
    <w:p w:rsidR="00C1182C" w:rsidRPr="00C1182C" w:rsidRDefault="00C1182C" w:rsidP="00C1182C">
      <w:pPr>
        <w:jc w:val="both"/>
        <w:rPr>
          <w:rFonts w:ascii="Times New Roman" w:hAnsi="Times New Roman" w:cs="Times New Roman"/>
        </w:rPr>
      </w:pPr>
      <w:r w:rsidRPr="00C1182C">
        <w:rPr>
          <w:rFonts w:ascii="Times New Roman" w:hAnsi="Times New Roman" w:cs="Times New Roman"/>
        </w:rPr>
        <w:t xml:space="preserve">1. В запрошенных штатных расписаниях Комитета по образованию с 01 октября 2022г, с 01 января 2023г. по должности методист отсутствует доплата за звание, при этом доплата методисту производится в размере 5% в течение 2022г. до февраля 2023г. За 2022г. доплата за звание методисту составила 3,3 тыс. </w:t>
      </w:r>
      <w:r w:rsidRPr="00C1182C">
        <w:rPr>
          <w:rFonts w:ascii="Times New Roman" w:hAnsi="Times New Roman" w:cs="Times New Roman"/>
        </w:rPr>
        <w:lastRenderedPageBreak/>
        <w:t>рублей. КСО просит предоставить основание для выплаты данной надбавки и для прекращения выплат по данной надбавке.</w:t>
      </w:r>
    </w:p>
    <w:p w:rsidR="00C1182C" w:rsidRPr="00C1182C" w:rsidRDefault="00C1182C" w:rsidP="00C1182C">
      <w:pPr>
        <w:jc w:val="both"/>
        <w:rPr>
          <w:rFonts w:ascii="Times New Roman" w:hAnsi="Times New Roman" w:cs="Times New Roman"/>
        </w:rPr>
      </w:pPr>
      <w:r w:rsidRPr="00C1182C">
        <w:rPr>
          <w:rFonts w:ascii="Times New Roman" w:hAnsi="Times New Roman" w:cs="Times New Roman"/>
        </w:rPr>
        <w:t xml:space="preserve">2.   КСО просит пояснить наличие в штатном расписании МОУ-гимназия №1 «с 01 сентября 2022» надбавки сторожам за вредные условия труда, при этом в расчетных листах сторожей начисление данной надбавки отсутствует. </w:t>
      </w:r>
    </w:p>
    <w:p w:rsidR="00C1182C" w:rsidRPr="00C1182C" w:rsidRDefault="00C1182C" w:rsidP="00C1182C">
      <w:pPr>
        <w:jc w:val="both"/>
        <w:rPr>
          <w:rFonts w:ascii="Times New Roman" w:hAnsi="Times New Roman" w:cs="Times New Roman"/>
        </w:rPr>
      </w:pPr>
      <w:r w:rsidRPr="00C1182C">
        <w:rPr>
          <w:rFonts w:ascii="Times New Roman" w:hAnsi="Times New Roman" w:cs="Times New Roman"/>
        </w:rPr>
        <w:t xml:space="preserve">3.  Предыдущей проверкой установлено: в МОУ СОШ №4 работник трудоустроен на 1 ставку завхоза, также является рабочим по обслуживанию зданий на 0,5 ставки, а с сентября 2021 года и учителем технологи – 4 часа в неделю, однако, приказа о приеме на работу в качестве педагогического работника нет, также заработная плата данного работника оплачивается в полном объеме из местного бюджета, несмотря на то, что заработная плата педагогического состава оплачивается из краевого бюджета. Согласно </w:t>
      </w:r>
      <w:proofErr w:type="gramStart"/>
      <w:r w:rsidRPr="00C1182C">
        <w:rPr>
          <w:rFonts w:ascii="Times New Roman" w:hAnsi="Times New Roman" w:cs="Times New Roman"/>
        </w:rPr>
        <w:t>табелям учета рабочего времени и лицевой карточке работника</w:t>
      </w:r>
      <w:proofErr w:type="gramEnd"/>
      <w:r w:rsidRPr="00C1182C">
        <w:rPr>
          <w:rFonts w:ascii="Times New Roman" w:hAnsi="Times New Roman" w:cs="Times New Roman"/>
        </w:rPr>
        <w:t xml:space="preserve"> в течение 2022г. (за исключением летнего периода) завхоз </w:t>
      </w:r>
      <w:proofErr w:type="spellStart"/>
      <w:r w:rsidRPr="00C1182C">
        <w:rPr>
          <w:rFonts w:ascii="Times New Roman" w:hAnsi="Times New Roman" w:cs="Times New Roman"/>
        </w:rPr>
        <w:t>табелируется</w:t>
      </w:r>
      <w:proofErr w:type="spellEnd"/>
      <w:r w:rsidRPr="00C1182C">
        <w:rPr>
          <w:rFonts w:ascii="Times New Roman" w:hAnsi="Times New Roman" w:cs="Times New Roman"/>
        </w:rPr>
        <w:t xml:space="preserve"> как учитель технологии, при этом имеется приказ от 16.05.2022г. №140-од об отмене выполнения дополнительной работы, а приказ о поручении выполнения дополнительной работы с начала следующего учебного года отсутствует. По данному работнику согласно лицевой карточке оплата труда по-прежнему начисляется из местного бюджета, хотя оплата должна производиться из краевого бюджета. Всего за 2022г. из местного бюджета завхозу по должности педагога начислено 46,3 тыс. рублей. Кроме того, приказ №140-од от 16.05.2022г. сформулирован некорректно, так как, по мнению КСО, в нём перепутаны понятия «совместительство» и «совмещение». Если это внутреннее совместительство по другой профессии, то должен быть заключен трудовой договор, а если это доплата за выполнение дополнительной работы путем совмещения, то необходимо заключение дополнительного соглашения к трудовому договору. Необходимо привести в соответствие с Трудовым кодексом РФ оформление завхоза по другой должности, а также осуществлять начисление заработной платы педагогическому работнику из соответствующего бюджета.</w:t>
      </w:r>
    </w:p>
    <w:p w:rsidR="00C1182C" w:rsidRPr="00C1182C" w:rsidRDefault="00C1182C" w:rsidP="00C1182C">
      <w:pPr>
        <w:jc w:val="both"/>
        <w:rPr>
          <w:rFonts w:ascii="Times New Roman" w:hAnsi="Times New Roman" w:cs="Times New Roman"/>
        </w:rPr>
      </w:pPr>
      <w:r w:rsidRPr="00C1182C">
        <w:rPr>
          <w:rFonts w:ascii="Times New Roman" w:hAnsi="Times New Roman" w:cs="Times New Roman"/>
        </w:rPr>
        <w:t>4. Согласно расчетному листу за июнь 2022г. сторожу МОУ СОШ №6 за совмещение должности дворника производится начисление за дополнительную работу в размере 24,3 тыс. рублей. Поскольку эти две должности финансируются из разных бюджетов (сторож – из местного, а дворник – из краевого), КСО просит представить подтверждающие документы о выплате заработной платы указанному работнику по должности «дворник» из краевого бюджета.</w:t>
      </w:r>
    </w:p>
    <w:p w:rsidR="00C1182C" w:rsidRPr="00C1182C" w:rsidRDefault="00C1182C" w:rsidP="00C1182C">
      <w:pPr>
        <w:jc w:val="both"/>
        <w:rPr>
          <w:rFonts w:ascii="Times New Roman" w:hAnsi="Times New Roman" w:cs="Times New Roman"/>
        </w:rPr>
      </w:pPr>
      <w:r w:rsidRPr="00C1182C">
        <w:rPr>
          <w:rFonts w:ascii="Times New Roman" w:hAnsi="Times New Roman" w:cs="Times New Roman"/>
        </w:rPr>
        <w:t xml:space="preserve">5.  В 2022 г. премирование работников Комитета по образованию осуществлялось на основании распоряжения администрации городского округа от 13.04.2022 № 179-ОД в размере 32,0 тыс. рублей председателю и 4,6 тыс. рублей ведущему специалисту, а также на основании распоряжения администрации городского округа от 11.07.2022 №324-ОД в размере 34,1 тыс. рублей председателю, то есть премирование руководителя Комитета осуществлялось по согласованию с Главой городского округа.  </w:t>
      </w:r>
    </w:p>
    <w:p w:rsidR="00C1182C" w:rsidRPr="00C1182C" w:rsidRDefault="00C1182C" w:rsidP="00C1182C">
      <w:pPr>
        <w:jc w:val="both"/>
        <w:rPr>
          <w:rFonts w:ascii="Times New Roman" w:hAnsi="Times New Roman" w:cs="Times New Roman"/>
        </w:rPr>
      </w:pPr>
      <w:r w:rsidRPr="00C1182C">
        <w:rPr>
          <w:rFonts w:ascii="Times New Roman" w:hAnsi="Times New Roman" w:cs="Times New Roman"/>
        </w:rPr>
        <w:t>6. Согласно приказу Комитета по образованию от 16.02.2022г. №26-лс и дополнительному соглашению №08-дс от 16.02.2022г. ведущему специалисту устанавливается доплата за выполнение дополнительной работы путём расширения зоны обслуживания в размере 0,5 ставки начальника отдела общего и дополнительного образования с надбавкой за сложность в работе – 119%, при этом в течение всего 2022г. согласно лицевой карточке данная надбавка начисляется в размере 90%. Недоплата за 9 месяцев 2022г. составляет более 2,9 тыс. рублей. Кроме того, КСО отмечает несоответствие размеров надбавки за «особые условия труда» начальника отдела общего и дополнительного образования в приказе от 01.02.2023г. №01-лс (100%) и дополнительном соглашении от 01.02.2023г. №01-дс к трудовому договору (90%), при этом начисление проходит согласно приказу в размере 100%. Необходимо привести в соответствие дополнительное соглашение №01-дс к трудовому договору №132-тд в части размера надбавки за особые условия труда.</w:t>
      </w:r>
    </w:p>
    <w:p w:rsidR="00C1182C" w:rsidRPr="00C1182C" w:rsidRDefault="00C1182C" w:rsidP="00C1182C">
      <w:pPr>
        <w:jc w:val="both"/>
        <w:rPr>
          <w:rFonts w:ascii="Times New Roman" w:hAnsi="Times New Roman" w:cs="Times New Roman"/>
        </w:rPr>
      </w:pPr>
      <w:r w:rsidRPr="00C1182C">
        <w:rPr>
          <w:rFonts w:ascii="Times New Roman" w:hAnsi="Times New Roman" w:cs="Times New Roman"/>
        </w:rPr>
        <w:t>7. Из проверенных выборочным методом приказе МДОУ Детский сад №5 о привлечении к работе в выходные дни от 09.01.2023 №8, приказе МУДО Станция юннатов о приёме работника на работу от 30.03.2023 №16, приказе МОУ-гимназия №1 об оплате в праздничные дни от 03.11.2022г. №64 отсутствуют подписи сотрудников об ознакомлении с приказами. Необходимо организовать работу по контролю за соблюдением руководителями подведомственных Комитету по образованию образовательных организаций требований трудового законодательства об обязательном ознакомлении работников с приказами, связанными с их трудовой деятельностью и по оформлению приказов.</w:t>
      </w:r>
    </w:p>
    <w:p w:rsidR="00C1182C" w:rsidRPr="00C1182C" w:rsidRDefault="00C1182C" w:rsidP="00C1182C">
      <w:pPr>
        <w:jc w:val="both"/>
        <w:rPr>
          <w:rFonts w:ascii="Times New Roman" w:hAnsi="Times New Roman" w:cs="Times New Roman"/>
        </w:rPr>
      </w:pPr>
      <w:r w:rsidRPr="00C1182C">
        <w:rPr>
          <w:rFonts w:ascii="Times New Roman" w:hAnsi="Times New Roman" w:cs="Times New Roman"/>
        </w:rPr>
        <w:t xml:space="preserve">8. Согласно ст. 60.2 Трудового кодекса </w:t>
      </w:r>
      <w:proofErr w:type="gramStart"/>
      <w:r w:rsidRPr="00C1182C">
        <w:rPr>
          <w:rFonts w:ascii="Times New Roman" w:hAnsi="Times New Roman" w:cs="Times New Roman"/>
        </w:rPr>
        <w:t>РФ</w:t>
      </w:r>
      <w:proofErr w:type="gramEnd"/>
      <w:r w:rsidRPr="00C1182C">
        <w:rPr>
          <w:rFonts w:ascii="Times New Roman" w:hAnsi="Times New Roman" w:cs="Times New Roman"/>
        </w:rPr>
        <w:t xml:space="preserve"> поручаемая работнику дополнительная работа по другой должности может осуществляться путем совмещения должностей, а поручаемая работнику </w:t>
      </w:r>
      <w:r w:rsidRPr="00C1182C">
        <w:rPr>
          <w:rFonts w:ascii="Times New Roman" w:hAnsi="Times New Roman" w:cs="Times New Roman"/>
        </w:rPr>
        <w:lastRenderedPageBreak/>
        <w:t>дополнительная работа по такой же должности может осуществляться путем расширения зон обслуживания, увеличения объема работ. Приказом Комитета от 01.04.2022г. №68-лс юрисконсульту поручается выполнение дополнительной работы в качестве методиста путем расширения зоны обслуживания, что противоречит указанному выше положению (нарушение ст. 60.2 Трудового кодекса РФ). В связи с этим можно сделать вывод о том, что приказ о дополнительной работе юрисконсульта на должности методиста составлен не верно. Кроме того, КСО отмечает, что у юрисконсульта имеется только юридическое образование; педагогическое образование, необходимое для ведения работы методиста, отсутствует, соответственно отсутствует педагогический стаж, а это может означать, что на должности методиста юрисконсульт выполнял трудовые функции юрисконсульта, а не методиста (трудовая функция – это работа по должности в соответствии со штатным расписанием, профессии, специальности с указанием квалификации). Согласно п. 2 раздела 1 «Общие положения» должностной инструкции методиста на должность методиста рекомендуется принимать лицо, имеющее высшее педагогическое образование или дополнительное профессиональное педагогическое образование в области методической деятельности. Следует отметить, что дополнительная работа может предоставляться только по должности, предусмотренной штатным расписанием, а выполнение работы по должности, не предусмотренной штатным расписанием, является нарушением.</w:t>
      </w:r>
    </w:p>
    <w:p w:rsidR="00C1182C" w:rsidRDefault="00C1182C" w:rsidP="00C1182C">
      <w:pPr>
        <w:jc w:val="both"/>
        <w:rPr>
          <w:rFonts w:ascii="Times New Roman" w:hAnsi="Times New Roman" w:cs="Times New Roman"/>
        </w:rPr>
      </w:pPr>
      <w:r w:rsidRPr="00C1182C">
        <w:rPr>
          <w:rFonts w:ascii="Times New Roman" w:hAnsi="Times New Roman" w:cs="Times New Roman"/>
        </w:rPr>
        <w:t xml:space="preserve">      Возникает вопрос о необходимости поручения юрисконсульту дополнительной работы по другой профессии (должности) - методиста (0,5 ставки), с учетом отсутствия у данного работника педагогического образования и педагогического стажа, когда по состоянию на апрель 2023г. трудоустроено 2 человека на должность методиста по 1,0 ставке, которые имеют соответствующее образование и педагогический стаж.</w:t>
      </w:r>
    </w:p>
    <w:p w:rsidR="00084609" w:rsidRDefault="00C1182C" w:rsidP="00C1182C">
      <w:pPr>
        <w:jc w:val="both"/>
        <w:rPr>
          <w:rFonts w:ascii="Times New Roman" w:hAnsi="Times New Roman" w:cs="Times New Roman"/>
        </w:rPr>
      </w:pPr>
      <w:r w:rsidRPr="00C1182C">
        <w:rPr>
          <w:rFonts w:ascii="Times New Roman" w:hAnsi="Times New Roman" w:cs="Times New Roman"/>
        </w:rPr>
        <w:t xml:space="preserve">     В результате анализа штатного расписания Комитета возникает вопрос о целесообразности наличия в штатном расписании Комитета по образованию трех ставок методистов, если в течение длительного времени одна ставка является вакантной, либо используется в качестве доплаты за совмещение или расширение зон обслуживания, этот факт можно расценить как завышение фонда оплаты труда. Кроме того, в городском округе численность педагогических работников в подведомственных Комитету образовательных организациях составляет менее 300 человек, в связи с этим согласно существующим рекомендациям для методического сопровождения данного количества педагогов в штате Комитета достаточно 2 ставок методиста. </w:t>
      </w:r>
    </w:p>
    <w:p w:rsidR="00C1182C" w:rsidRDefault="00C1182C" w:rsidP="00C1182C">
      <w:pPr>
        <w:jc w:val="both"/>
        <w:rPr>
          <w:rFonts w:ascii="Times New Roman" w:hAnsi="Times New Roman" w:cs="Times New Roman"/>
          <w:b/>
        </w:rPr>
      </w:pPr>
      <w:r>
        <w:rPr>
          <w:rFonts w:ascii="Times New Roman" w:hAnsi="Times New Roman" w:cs="Times New Roman"/>
          <w:b/>
        </w:rPr>
        <w:t>3</w:t>
      </w:r>
      <w:r w:rsidRPr="00C1182C">
        <w:rPr>
          <w:rFonts w:ascii="Times New Roman" w:hAnsi="Times New Roman" w:cs="Times New Roman"/>
          <w:b/>
        </w:rPr>
        <w:t>)</w:t>
      </w:r>
      <w:r w:rsidRPr="00C1182C">
        <w:rPr>
          <w:rFonts w:ascii="Times New Roman" w:hAnsi="Times New Roman" w:cs="Times New Roman"/>
          <w:b/>
        </w:rPr>
        <w:tab/>
        <w:t xml:space="preserve">Экспертиза проекта Решения Думы городского округа «Город Петровск-Забайкальский» «О внесении изменений в решение Думы городского округа                   </w:t>
      </w:r>
      <w:proofErr w:type="gramStart"/>
      <w:r w:rsidRPr="00C1182C">
        <w:rPr>
          <w:rFonts w:ascii="Times New Roman" w:hAnsi="Times New Roman" w:cs="Times New Roman"/>
          <w:b/>
        </w:rPr>
        <w:t xml:space="preserve">   «</w:t>
      </w:r>
      <w:proofErr w:type="gramEnd"/>
      <w:r w:rsidRPr="00C1182C">
        <w:rPr>
          <w:rFonts w:ascii="Times New Roman" w:hAnsi="Times New Roman" w:cs="Times New Roman"/>
          <w:b/>
        </w:rPr>
        <w:t xml:space="preserve">Город Петровск-Забайкальский» от 29 декабря 2022 года №16 «О бюджете городского округа «Город Петровск-Забайкальский» на 2023 год и плановый период 2024 и 2025 годов» </w:t>
      </w:r>
    </w:p>
    <w:p w:rsidR="00C1182C" w:rsidRDefault="00C1182C" w:rsidP="00C1182C">
      <w:pPr>
        <w:jc w:val="both"/>
        <w:rPr>
          <w:rFonts w:ascii="Times New Roman" w:hAnsi="Times New Roman" w:cs="Times New Roman"/>
        </w:rPr>
      </w:pPr>
      <w:r w:rsidRPr="00C1182C">
        <w:rPr>
          <w:rFonts w:ascii="Times New Roman" w:hAnsi="Times New Roman" w:cs="Times New Roman"/>
        </w:rPr>
        <w:t>По результатам экспертизы установлено:</w:t>
      </w:r>
    </w:p>
    <w:p w:rsidR="00C1182C" w:rsidRPr="00C1182C" w:rsidRDefault="00C1182C" w:rsidP="00C1182C">
      <w:pPr>
        <w:jc w:val="both"/>
        <w:rPr>
          <w:rFonts w:ascii="Times New Roman" w:hAnsi="Times New Roman" w:cs="Times New Roman"/>
        </w:rPr>
      </w:pPr>
      <w:r w:rsidRPr="00C1182C">
        <w:rPr>
          <w:rFonts w:ascii="Times New Roman" w:hAnsi="Times New Roman" w:cs="Times New Roman"/>
        </w:rPr>
        <w:t xml:space="preserve">  1.  Проектом решения о внесении изменений в бюджет городского округа на 2023 год   прогнозируются показатели бюджета в следующих объемах:</w:t>
      </w:r>
    </w:p>
    <w:p w:rsidR="00C1182C" w:rsidRPr="00C1182C" w:rsidRDefault="00C1182C" w:rsidP="00C1182C">
      <w:pPr>
        <w:jc w:val="right"/>
        <w:rPr>
          <w:rFonts w:ascii="Times New Roman" w:hAnsi="Times New Roman" w:cs="Times New Roman"/>
        </w:rPr>
      </w:pPr>
      <w:r w:rsidRPr="00C1182C">
        <w:rPr>
          <w:rFonts w:ascii="Times New Roman" w:hAnsi="Times New Roman" w:cs="Times New Roman"/>
        </w:rPr>
        <w:t>тыс. рублей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410"/>
        <w:gridCol w:w="2410"/>
        <w:gridCol w:w="2409"/>
      </w:tblGrid>
      <w:tr w:rsidR="00C1182C" w:rsidRPr="00C1182C" w:rsidTr="00D64B8A">
        <w:tc>
          <w:tcPr>
            <w:tcW w:w="2972"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C1182C">
              <w:rPr>
                <w:rFonts w:ascii="Times New Roman" w:hAnsi="Times New Roman" w:cs="Times New Roman"/>
              </w:rPr>
              <w:t xml:space="preserve">      </w:t>
            </w:r>
            <w:r w:rsidRPr="00C1182C">
              <w:rPr>
                <w:rFonts w:ascii="Times New Roman" w:eastAsia="Times New Roman" w:hAnsi="Times New Roman" w:cs="Times New Roman"/>
                <w:b/>
                <w:lang w:eastAsia="ru-RU"/>
              </w:rPr>
              <w:t>Показатели</w:t>
            </w:r>
          </w:p>
        </w:tc>
        <w:tc>
          <w:tcPr>
            <w:tcW w:w="2410"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C1182C">
              <w:rPr>
                <w:rFonts w:ascii="Times New Roman" w:eastAsia="Times New Roman" w:hAnsi="Times New Roman" w:cs="Times New Roman"/>
                <w:b/>
                <w:lang w:eastAsia="ru-RU"/>
              </w:rPr>
              <w:t>Утверждено на</w:t>
            </w:r>
          </w:p>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C1182C">
              <w:rPr>
                <w:rFonts w:ascii="Times New Roman" w:eastAsia="Times New Roman" w:hAnsi="Times New Roman" w:cs="Times New Roman"/>
                <w:b/>
                <w:lang w:eastAsia="ru-RU"/>
              </w:rPr>
              <w:t xml:space="preserve">2023 год </w:t>
            </w:r>
          </w:p>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C1182C">
              <w:rPr>
                <w:rFonts w:ascii="Times New Roman" w:eastAsia="Times New Roman" w:hAnsi="Times New Roman" w:cs="Times New Roman"/>
                <w:b/>
                <w:lang w:eastAsia="ru-RU"/>
              </w:rPr>
              <w:t xml:space="preserve">(Решением от 19 мая 2023 года № 36) </w:t>
            </w:r>
          </w:p>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p>
        </w:tc>
        <w:tc>
          <w:tcPr>
            <w:tcW w:w="2410"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C1182C">
              <w:rPr>
                <w:rFonts w:ascii="Times New Roman" w:eastAsia="Times New Roman" w:hAnsi="Times New Roman" w:cs="Times New Roman"/>
                <w:b/>
                <w:lang w:eastAsia="ru-RU"/>
              </w:rPr>
              <w:t>Проект Решения изменений</w:t>
            </w:r>
          </w:p>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C1182C">
              <w:rPr>
                <w:rFonts w:ascii="Times New Roman" w:eastAsia="Times New Roman" w:hAnsi="Times New Roman" w:cs="Times New Roman"/>
                <w:b/>
                <w:lang w:eastAsia="ru-RU"/>
              </w:rPr>
              <w:t>на 2023 год</w:t>
            </w:r>
          </w:p>
        </w:tc>
        <w:tc>
          <w:tcPr>
            <w:tcW w:w="2409"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C1182C">
              <w:rPr>
                <w:rFonts w:ascii="Times New Roman" w:eastAsia="Times New Roman" w:hAnsi="Times New Roman" w:cs="Times New Roman"/>
                <w:b/>
                <w:lang w:eastAsia="ru-RU"/>
              </w:rPr>
              <w:t>Разница утвержденного к проекту</w:t>
            </w:r>
          </w:p>
        </w:tc>
      </w:tr>
      <w:tr w:rsidR="00C1182C" w:rsidRPr="00C1182C" w:rsidTr="00D64B8A">
        <w:tc>
          <w:tcPr>
            <w:tcW w:w="2972"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i/>
                <w:lang w:eastAsia="ru-RU"/>
              </w:rPr>
            </w:pPr>
            <w:r w:rsidRPr="00C1182C">
              <w:rPr>
                <w:rFonts w:ascii="Times New Roman" w:eastAsia="Times New Roman" w:hAnsi="Times New Roman" w:cs="Times New Roman"/>
                <w:b/>
                <w:i/>
                <w:lang w:eastAsia="ru-RU"/>
              </w:rPr>
              <w:t>Доходы, всего</w:t>
            </w:r>
          </w:p>
        </w:tc>
        <w:tc>
          <w:tcPr>
            <w:tcW w:w="2410"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C1182C">
              <w:rPr>
                <w:rFonts w:ascii="Times New Roman" w:eastAsia="Times New Roman" w:hAnsi="Times New Roman" w:cs="Times New Roman"/>
                <w:b/>
                <w:lang w:eastAsia="ru-RU"/>
              </w:rPr>
              <w:t>862 721,0</w:t>
            </w:r>
          </w:p>
        </w:tc>
        <w:tc>
          <w:tcPr>
            <w:tcW w:w="2410"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C1182C">
              <w:rPr>
                <w:rFonts w:ascii="Times New Roman" w:eastAsia="Times New Roman" w:hAnsi="Times New Roman" w:cs="Times New Roman"/>
                <w:b/>
                <w:lang w:eastAsia="ru-RU"/>
              </w:rPr>
              <w:t>851 650,5</w:t>
            </w:r>
          </w:p>
        </w:tc>
        <w:tc>
          <w:tcPr>
            <w:tcW w:w="2409"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C1182C">
              <w:rPr>
                <w:rFonts w:ascii="Times New Roman" w:eastAsia="Times New Roman" w:hAnsi="Times New Roman" w:cs="Times New Roman"/>
                <w:b/>
                <w:lang w:eastAsia="ru-RU"/>
              </w:rPr>
              <w:t>-11 070,5</w:t>
            </w:r>
          </w:p>
        </w:tc>
      </w:tr>
      <w:tr w:rsidR="00C1182C" w:rsidRPr="00C1182C" w:rsidTr="00D64B8A">
        <w:tc>
          <w:tcPr>
            <w:tcW w:w="2972"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 xml:space="preserve">в том числе </w:t>
            </w:r>
          </w:p>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собственные доходы</w:t>
            </w:r>
          </w:p>
        </w:tc>
        <w:tc>
          <w:tcPr>
            <w:tcW w:w="2410"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p>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194 443,8</w:t>
            </w:r>
          </w:p>
        </w:tc>
        <w:tc>
          <w:tcPr>
            <w:tcW w:w="2410"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p>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194 443,8</w:t>
            </w:r>
          </w:p>
        </w:tc>
        <w:tc>
          <w:tcPr>
            <w:tcW w:w="2409"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0</w:t>
            </w:r>
          </w:p>
        </w:tc>
      </w:tr>
      <w:tr w:rsidR="00C1182C" w:rsidRPr="00C1182C" w:rsidTr="00D64B8A">
        <w:trPr>
          <w:trHeight w:val="569"/>
        </w:trPr>
        <w:tc>
          <w:tcPr>
            <w:tcW w:w="2972"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val="en-US" w:eastAsia="ru-RU"/>
              </w:rPr>
            </w:pPr>
          </w:p>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Безвозмездные поступления</w:t>
            </w:r>
          </w:p>
        </w:tc>
        <w:tc>
          <w:tcPr>
            <w:tcW w:w="2410"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p>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668 277,1</w:t>
            </w:r>
          </w:p>
        </w:tc>
        <w:tc>
          <w:tcPr>
            <w:tcW w:w="2410"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p>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657 206,7</w:t>
            </w:r>
          </w:p>
        </w:tc>
        <w:tc>
          <w:tcPr>
            <w:tcW w:w="2409"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p>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-11 070,5</w:t>
            </w:r>
          </w:p>
        </w:tc>
      </w:tr>
      <w:tr w:rsidR="00C1182C" w:rsidRPr="00C1182C" w:rsidTr="00D64B8A">
        <w:tc>
          <w:tcPr>
            <w:tcW w:w="2972"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i/>
                <w:lang w:eastAsia="ru-RU"/>
              </w:rPr>
            </w:pPr>
            <w:r w:rsidRPr="00C1182C">
              <w:rPr>
                <w:rFonts w:ascii="Times New Roman" w:eastAsia="Times New Roman" w:hAnsi="Times New Roman" w:cs="Times New Roman"/>
                <w:b/>
                <w:i/>
                <w:lang w:eastAsia="ru-RU"/>
              </w:rPr>
              <w:t>Расходы</w:t>
            </w:r>
          </w:p>
        </w:tc>
        <w:tc>
          <w:tcPr>
            <w:tcW w:w="2410"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C1182C">
              <w:rPr>
                <w:rFonts w:ascii="Times New Roman" w:eastAsia="Times New Roman" w:hAnsi="Times New Roman" w:cs="Times New Roman"/>
                <w:b/>
                <w:lang w:eastAsia="ru-RU"/>
              </w:rPr>
              <w:t>861 204,6</w:t>
            </w:r>
          </w:p>
        </w:tc>
        <w:tc>
          <w:tcPr>
            <w:tcW w:w="2410"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C1182C">
              <w:rPr>
                <w:rFonts w:ascii="Times New Roman" w:eastAsia="Times New Roman" w:hAnsi="Times New Roman" w:cs="Times New Roman"/>
                <w:b/>
                <w:lang w:eastAsia="ru-RU"/>
              </w:rPr>
              <w:t>850 134,2</w:t>
            </w:r>
          </w:p>
        </w:tc>
        <w:tc>
          <w:tcPr>
            <w:tcW w:w="2409" w:type="dxa"/>
          </w:tcPr>
          <w:p w:rsidR="00C1182C" w:rsidRPr="00C1182C" w:rsidRDefault="00C1182C" w:rsidP="00C1182C">
            <w:pPr>
              <w:tabs>
                <w:tab w:val="left" w:pos="570"/>
                <w:tab w:val="center" w:pos="1096"/>
              </w:tabs>
              <w:autoSpaceDE w:val="0"/>
              <w:autoSpaceDN w:val="0"/>
              <w:adjustRightInd w:val="0"/>
              <w:spacing w:after="0" w:line="276" w:lineRule="auto"/>
              <w:outlineLvl w:val="3"/>
              <w:rPr>
                <w:rFonts w:ascii="Times New Roman" w:eastAsia="Times New Roman" w:hAnsi="Times New Roman" w:cs="Times New Roman"/>
                <w:b/>
                <w:lang w:eastAsia="ru-RU"/>
              </w:rPr>
            </w:pPr>
            <w:r w:rsidRPr="00C1182C">
              <w:rPr>
                <w:rFonts w:ascii="Times New Roman" w:eastAsia="Times New Roman" w:hAnsi="Times New Roman" w:cs="Times New Roman"/>
                <w:b/>
                <w:lang w:eastAsia="ru-RU"/>
              </w:rPr>
              <w:tab/>
              <w:t>-11 070,5</w:t>
            </w:r>
          </w:p>
        </w:tc>
      </w:tr>
      <w:tr w:rsidR="00C1182C" w:rsidRPr="00C1182C" w:rsidTr="00D64B8A">
        <w:tc>
          <w:tcPr>
            <w:tcW w:w="2972"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i/>
                <w:lang w:eastAsia="ru-RU"/>
              </w:rPr>
            </w:pPr>
            <w:r w:rsidRPr="00C1182C">
              <w:rPr>
                <w:rFonts w:ascii="Times New Roman" w:eastAsia="Times New Roman" w:hAnsi="Times New Roman" w:cs="Times New Roman"/>
                <w:b/>
                <w:i/>
                <w:lang w:eastAsia="ru-RU"/>
              </w:rPr>
              <w:t>Дефицит,-</w:t>
            </w:r>
          </w:p>
        </w:tc>
        <w:tc>
          <w:tcPr>
            <w:tcW w:w="2410"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C1182C">
              <w:rPr>
                <w:rFonts w:ascii="Times New Roman" w:eastAsia="Times New Roman" w:hAnsi="Times New Roman" w:cs="Times New Roman"/>
                <w:b/>
                <w:lang w:eastAsia="ru-RU"/>
              </w:rPr>
              <w:t>-</w:t>
            </w:r>
          </w:p>
        </w:tc>
        <w:tc>
          <w:tcPr>
            <w:tcW w:w="2410"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C1182C">
              <w:rPr>
                <w:rFonts w:ascii="Times New Roman" w:eastAsia="Times New Roman" w:hAnsi="Times New Roman" w:cs="Times New Roman"/>
                <w:b/>
                <w:lang w:eastAsia="ru-RU"/>
              </w:rPr>
              <w:t>-</w:t>
            </w:r>
          </w:p>
        </w:tc>
        <w:tc>
          <w:tcPr>
            <w:tcW w:w="2409"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p>
        </w:tc>
      </w:tr>
      <w:tr w:rsidR="00C1182C" w:rsidRPr="00C1182C" w:rsidTr="00D64B8A">
        <w:tc>
          <w:tcPr>
            <w:tcW w:w="2972"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i/>
                <w:lang w:eastAsia="ru-RU"/>
              </w:rPr>
            </w:pPr>
            <w:proofErr w:type="gramStart"/>
            <w:r w:rsidRPr="00C1182C">
              <w:rPr>
                <w:rFonts w:ascii="Times New Roman" w:eastAsia="Times New Roman" w:hAnsi="Times New Roman" w:cs="Times New Roman"/>
                <w:b/>
                <w:i/>
                <w:lang w:eastAsia="ru-RU"/>
              </w:rPr>
              <w:t>Профицит,+</w:t>
            </w:r>
            <w:proofErr w:type="gramEnd"/>
          </w:p>
        </w:tc>
        <w:tc>
          <w:tcPr>
            <w:tcW w:w="2410"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C1182C">
              <w:rPr>
                <w:rFonts w:ascii="Times New Roman" w:eastAsia="Times New Roman" w:hAnsi="Times New Roman" w:cs="Times New Roman"/>
                <w:b/>
                <w:lang w:eastAsia="ru-RU"/>
              </w:rPr>
              <w:t>1 516,3</w:t>
            </w:r>
          </w:p>
        </w:tc>
        <w:tc>
          <w:tcPr>
            <w:tcW w:w="2410"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C1182C">
              <w:rPr>
                <w:rFonts w:ascii="Times New Roman" w:eastAsia="Times New Roman" w:hAnsi="Times New Roman" w:cs="Times New Roman"/>
                <w:b/>
                <w:lang w:eastAsia="ru-RU"/>
              </w:rPr>
              <w:t>1 516,3</w:t>
            </w:r>
          </w:p>
        </w:tc>
        <w:tc>
          <w:tcPr>
            <w:tcW w:w="2409"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C1182C">
              <w:rPr>
                <w:rFonts w:ascii="Times New Roman" w:eastAsia="Times New Roman" w:hAnsi="Times New Roman" w:cs="Times New Roman"/>
                <w:b/>
                <w:lang w:eastAsia="ru-RU"/>
              </w:rPr>
              <w:t>0</w:t>
            </w:r>
          </w:p>
        </w:tc>
      </w:tr>
    </w:tbl>
    <w:p w:rsidR="00C1182C" w:rsidRPr="00C1182C" w:rsidRDefault="00C1182C" w:rsidP="00C1182C">
      <w:pPr>
        <w:jc w:val="both"/>
        <w:rPr>
          <w:rFonts w:ascii="Times New Roman" w:hAnsi="Times New Roman" w:cs="Times New Roman"/>
        </w:rPr>
      </w:pPr>
      <w:r w:rsidRPr="00C1182C">
        <w:rPr>
          <w:rFonts w:ascii="Times New Roman" w:hAnsi="Times New Roman" w:cs="Times New Roman"/>
        </w:rPr>
        <w:t xml:space="preserve">   2. Уменьшение доходной части бюджета в проекте Решения о внесении изменений на сумму 11 070,5 тыс. рублей произошло вследствие сокращения межбюджетных трансфертов по трём направлениям на </w:t>
      </w:r>
      <w:r w:rsidRPr="00C1182C">
        <w:rPr>
          <w:rFonts w:ascii="Times New Roman" w:hAnsi="Times New Roman" w:cs="Times New Roman"/>
        </w:rPr>
        <w:lastRenderedPageBreak/>
        <w:t xml:space="preserve">сумму 70 296,9 тыс. рублей (субвенция на получение общедоступного бесплатного дошкольного образования; на обеспечение льготным питанием детей из малоимущих семей и на предоставление компенсации части родительской платы). При этом по нескольким направлениям межбюджетные трансферты увеличены на сумму 59 226,4 тыс. рублей (дотации на повышение заработной платы и обеспечение расходных обязательств по оплате труда, дотации за достижение показателей деятельности и на поддержку мер по сбалансированности городского бюджета; субсидии на ремонт автомобильных дорог и обновление учебников; субвенции на обеспечение льготного проезда, на администрирование государственных полномочий; иные МБТ на поддержку детей участников СВО, на ремонт и оснащение военных комиссариатов, МБТ в качестве поощрения за повышение эффективности расходов городского округа, а также на решение вопросов местного значения). </w:t>
      </w:r>
    </w:p>
    <w:p w:rsidR="00C1182C" w:rsidRPr="00C1182C" w:rsidRDefault="00C1182C" w:rsidP="00C1182C">
      <w:pPr>
        <w:jc w:val="both"/>
        <w:rPr>
          <w:rFonts w:ascii="Times New Roman" w:hAnsi="Times New Roman" w:cs="Times New Roman"/>
        </w:rPr>
      </w:pPr>
      <w:r w:rsidRPr="00C1182C">
        <w:rPr>
          <w:rFonts w:ascii="Times New Roman" w:hAnsi="Times New Roman" w:cs="Times New Roman"/>
        </w:rPr>
        <w:t xml:space="preserve">     Структура бюджетных назначений по виду доходов «безвозмездные поступления»: </w:t>
      </w:r>
    </w:p>
    <w:p w:rsidR="00C1182C" w:rsidRPr="00C1182C" w:rsidRDefault="00C1182C" w:rsidP="00BB71BE">
      <w:pPr>
        <w:jc w:val="right"/>
        <w:rPr>
          <w:rFonts w:ascii="Times New Roman" w:hAnsi="Times New Roman" w:cs="Times New Roman"/>
        </w:rPr>
      </w:pPr>
      <w:r w:rsidRPr="00C1182C">
        <w:rPr>
          <w:rFonts w:ascii="Times New Roman" w:hAnsi="Times New Roman" w:cs="Times New Roman"/>
        </w:rPr>
        <w:t>тыс. 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364"/>
        <w:gridCol w:w="2428"/>
        <w:gridCol w:w="2118"/>
      </w:tblGrid>
      <w:tr w:rsidR="00C1182C" w:rsidRPr="00C1182C" w:rsidTr="00D64B8A">
        <w:tc>
          <w:tcPr>
            <w:tcW w:w="3150"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Показатели</w:t>
            </w:r>
          </w:p>
        </w:tc>
        <w:tc>
          <w:tcPr>
            <w:tcW w:w="2364"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Утверждено на</w:t>
            </w:r>
          </w:p>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 xml:space="preserve">2023 год </w:t>
            </w:r>
          </w:p>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 xml:space="preserve">(Решением от 19 мая 2023 года № 36) </w:t>
            </w:r>
          </w:p>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p>
        </w:tc>
        <w:tc>
          <w:tcPr>
            <w:tcW w:w="2428"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Проект Решения изменений</w:t>
            </w:r>
          </w:p>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на 2023 год</w:t>
            </w:r>
          </w:p>
        </w:tc>
        <w:tc>
          <w:tcPr>
            <w:tcW w:w="2118"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Разница утвержденного к проекту</w:t>
            </w:r>
          </w:p>
        </w:tc>
      </w:tr>
      <w:tr w:rsidR="00C1182C" w:rsidRPr="00C1182C" w:rsidTr="00D64B8A">
        <w:tc>
          <w:tcPr>
            <w:tcW w:w="3150"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C1182C">
              <w:rPr>
                <w:rFonts w:ascii="Times New Roman" w:eastAsia="Times New Roman" w:hAnsi="Times New Roman" w:cs="Times New Roman"/>
                <w:b/>
                <w:lang w:eastAsia="ru-RU"/>
              </w:rPr>
              <w:t>Безвозмездные поступления всего:</w:t>
            </w:r>
          </w:p>
        </w:tc>
        <w:tc>
          <w:tcPr>
            <w:tcW w:w="2364"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C1182C">
              <w:rPr>
                <w:rFonts w:ascii="Times New Roman" w:eastAsia="Times New Roman" w:hAnsi="Times New Roman" w:cs="Times New Roman"/>
                <w:b/>
                <w:lang w:eastAsia="ru-RU"/>
              </w:rPr>
              <w:t>668 277,2</w:t>
            </w:r>
          </w:p>
        </w:tc>
        <w:tc>
          <w:tcPr>
            <w:tcW w:w="2428"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C1182C">
              <w:rPr>
                <w:rFonts w:ascii="Times New Roman" w:eastAsia="Times New Roman" w:hAnsi="Times New Roman" w:cs="Times New Roman"/>
                <w:b/>
                <w:lang w:eastAsia="ru-RU"/>
              </w:rPr>
              <w:t>657 206,7</w:t>
            </w:r>
          </w:p>
        </w:tc>
        <w:tc>
          <w:tcPr>
            <w:tcW w:w="2118"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C1182C">
              <w:rPr>
                <w:rFonts w:ascii="Times New Roman" w:eastAsia="Times New Roman" w:hAnsi="Times New Roman" w:cs="Times New Roman"/>
                <w:b/>
                <w:lang w:eastAsia="ru-RU"/>
              </w:rPr>
              <w:t>-11 070,5</w:t>
            </w:r>
          </w:p>
        </w:tc>
      </w:tr>
      <w:tr w:rsidR="00C1182C" w:rsidRPr="00C1182C" w:rsidTr="00D64B8A">
        <w:tc>
          <w:tcPr>
            <w:tcW w:w="3150"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Дотации</w:t>
            </w:r>
          </w:p>
        </w:tc>
        <w:tc>
          <w:tcPr>
            <w:tcW w:w="2364"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102 892,0</w:t>
            </w:r>
          </w:p>
        </w:tc>
        <w:tc>
          <w:tcPr>
            <w:tcW w:w="2428"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129 173,1</w:t>
            </w:r>
          </w:p>
        </w:tc>
        <w:tc>
          <w:tcPr>
            <w:tcW w:w="2118"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+26 281,1</w:t>
            </w:r>
          </w:p>
        </w:tc>
      </w:tr>
      <w:tr w:rsidR="00C1182C" w:rsidRPr="00C1182C" w:rsidTr="00D64B8A">
        <w:trPr>
          <w:trHeight w:val="569"/>
        </w:trPr>
        <w:tc>
          <w:tcPr>
            <w:tcW w:w="3150"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Субсидии</w:t>
            </w:r>
          </w:p>
        </w:tc>
        <w:tc>
          <w:tcPr>
            <w:tcW w:w="2364"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121 780,0</w:t>
            </w:r>
          </w:p>
        </w:tc>
        <w:tc>
          <w:tcPr>
            <w:tcW w:w="2428"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137 095,7</w:t>
            </w:r>
          </w:p>
        </w:tc>
        <w:tc>
          <w:tcPr>
            <w:tcW w:w="2118"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+15 315,6</w:t>
            </w:r>
          </w:p>
        </w:tc>
      </w:tr>
      <w:tr w:rsidR="00C1182C" w:rsidRPr="00C1182C" w:rsidTr="00D64B8A">
        <w:tc>
          <w:tcPr>
            <w:tcW w:w="3150"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Субвенции</w:t>
            </w:r>
          </w:p>
        </w:tc>
        <w:tc>
          <w:tcPr>
            <w:tcW w:w="2364"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290 102,1</w:t>
            </w:r>
          </w:p>
        </w:tc>
        <w:tc>
          <w:tcPr>
            <w:tcW w:w="2428"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223 389,6</w:t>
            </w:r>
          </w:p>
        </w:tc>
        <w:tc>
          <w:tcPr>
            <w:tcW w:w="2118"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-66 712,5</w:t>
            </w:r>
          </w:p>
        </w:tc>
      </w:tr>
      <w:tr w:rsidR="00C1182C" w:rsidRPr="00C1182C" w:rsidTr="00D64B8A">
        <w:tc>
          <w:tcPr>
            <w:tcW w:w="3150"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Иные МБТ</w:t>
            </w:r>
          </w:p>
        </w:tc>
        <w:tc>
          <w:tcPr>
            <w:tcW w:w="2364"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153 503,0</w:t>
            </w:r>
          </w:p>
        </w:tc>
        <w:tc>
          <w:tcPr>
            <w:tcW w:w="2428"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167 548,3</w:t>
            </w:r>
          </w:p>
        </w:tc>
        <w:tc>
          <w:tcPr>
            <w:tcW w:w="2118" w:type="dxa"/>
          </w:tcPr>
          <w:p w:rsidR="00C1182C" w:rsidRPr="00C1182C" w:rsidRDefault="00C1182C" w:rsidP="00C1182C">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C1182C">
              <w:rPr>
                <w:rFonts w:ascii="Times New Roman" w:eastAsia="Times New Roman" w:hAnsi="Times New Roman" w:cs="Times New Roman"/>
                <w:lang w:eastAsia="ru-RU"/>
              </w:rPr>
              <w:t>+14 045,3</w:t>
            </w:r>
          </w:p>
        </w:tc>
      </w:tr>
    </w:tbl>
    <w:p w:rsidR="00C1182C" w:rsidRPr="00C1182C" w:rsidRDefault="00C1182C" w:rsidP="00C1182C">
      <w:pPr>
        <w:jc w:val="both"/>
        <w:rPr>
          <w:rFonts w:ascii="Times New Roman" w:hAnsi="Times New Roman" w:cs="Times New Roman"/>
        </w:rPr>
      </w:pPr>
    </w:p>
    <w:p w:rsidR="00C1182C" w:rsidRPr="00C1182C" w:rsidRDefault="00C1182C" w:rsidP="00C1182C">
      <w:pPr>
        <w:jc w:val="both"/>
        <w:rPr>
          <w:rFonts w:ascii="Times New Roman" w:hAnsi="Times New Roman" w:cs="Times New Roman"/>
        </w:rPr>
      </w:pPr>
      <w:r w:rsidRPr="00C1182C">
        <w:rPr>
          <w:rFonts w:ascii="Times New Roman" w:hAnsi="Times New Roman" w:cs="Times New Roman"/>
        </w:rPr>
        <w:t xml:space="preserve">  3. В проекте Решения о внесении изменений в бюджет городского округа «Город Петровск-Забайкальский» расходная часть бюджета на 2023 год уменьшена в общей сложности на 11 070,5 тыс. рублей за счет движения межбюджетных трансфертов, имеющих строго целевую направленность расходования средств. Анализ предлагаемых к утверждению лимитов бюджетных ассигнований расходов местного бюджета показал, что передвижки внутри разделов, подразделов и ведомств осуществлялись с соблюдением бюджетного законодательства.</w:t>
      </w:r>
    </w:p>
    <w:p w:rsidR="00C1182C" w:rsidRPr="00C1182C" w:rsidRDefault="00C1182C" w:rsidP="00C1182C">
      <w:pPr>
        <w:jc w:val="both"/>
        <w:rPr>
          <w:rFonts w:ascii="Times New Roman" w:hAnsi="Times New Roman" w:cs="Times New Roman"/>
        </w:rPr>
      </w:pPr>
      <w:r w:rsidRPr="00C1182C">
        <w:rPr>
          <w:rFonts w:ascii="Times New Roman" w:hAnsi="Times New Roman" w:cs="Times New Roman"/>
        </w:rPr>
        <w:t xml:space="preserve">    В результате проведенных передвижек с резервного фонда местной администрации (счет 0000700500) на общую сумму 934,0 тыс. рублей объём резервного фонда местной администрации (счет 0111 0000700500) составил 1 203,1 тыс. рублей. Объём зарезервированных средств резервного фонда (счет 01 11 0000700600) остался без изменений и составил 241,6 тыс. рублей.</w:t>
      </w:r>
    </w:p>
    <w:p w:rsidR="00C1182C" w:rsidRDefault="00C1182C" w:rsidP="00C1182C">
      <w:pPr>
        <w:jc w:val="both"/>
        <w:rPr>
          <w:rFonts w:ascii="Times New Roman" w:hAnsi="Times New Roman" w:cs="Times New Roman"/>
        </w:rPr>
      </w:pPr>
      <w:r w:rsidRPr="00C1182C">
        <w:rPr>
          <w:rFonts w:ascii="Times New Roman" w:hAnsi="Times New Roman" w:cs="Times New Roman"/>
        </w:rPr>
        <w:t xml:space="preserve">  4. Профицит местного бюджета на 2023 год не изменился и составил 1 516,3 тыс. рублей, который направляется в полном объёме на погашение бюджетных кредитов городского округа.  </w:t>
      </w:r>
    </w:p>
    <w:p w:rsidR="002310DA" w:rsidRDefault="002310DA" w:rsidP="00C1182C">
      <w:pPr>
        <w:jc w:val="both"/>
        <w:rPr>
          <w:rFonts w:ascii="Times New Roman" w:hAnsi="Times New Roman" w:cs="Times New Roman"/>
        </w:rPr>
      </w:pPr>
    </w:p>
    <w:p w:rsidR="002310DA" w:rsidRDefault="007C5FE2" w:rsidP="00C1182C">
      <w:pPr>
        <w:jc w:val="both"/>
        <w:rPr>
          <w:rFonts w:ascii="Times New Roman" w:hAnsi="Times New Roman" w:cs="Times New Roman"/>
          <w:b/>
        </w:rPr>
      </w:pPr>
      <w:r>
        <w:rPr>
          <w:rFonts w:ascii="Times New Roman" w:hAnsi="Times New Roman" w:cs="Times New Roman"/>
          <w:b/>
        </w:rPr>
        <w:t>4</w:t>
      </w:r>
      <w:r w:rsidR="002310DA" w:rsidRPr="002310DA">
        <w:rPr>
          <w:rFonts w:ascii="Times New Roman" w:hAnsi="Times New Roman" w:cs="Times New Roman"/>
          <w:b/>
        </w:rPr>
        <w:t>)</w:t>
      </w:r>
      <w:r w:rsidR="002310DA" w:rsidRPr="002310DA">
        <w:rPr>
          <w:rFonts w:ascii="Times New Roman" w:hAnsi="Times New Roman" w:cs="Times New Roman"/>
          <w:b/>
        </w:rPr>
        <w:tab/>
        <w:t xml:space="preserve">Экспертиза </w:t>
      </w:r>
      <w:r w:rsidR="005E2061">
        <w:rPr>
          <w:rFonts w:ascii="Times New Roman" w:hAnsi="Times New Roman" w:cs="Times New Roman"/>
          <w:b/>
        </w:rPr>
        <w:t>п</w:t>
      </w:r>
      <w:bookmarkStart w:id="0" w:name="_GoBack"/>
      <w:bookmarkEnd w:id="0"/>
      <w:r w:rsidR="002310DA" w:rsidRPr="002310DA">
        <w:rPr>
          <w:rFonts w:ascii="Times New Roman" w:hAnsi="Times New Roman" w:cs="Times New Roman"/>
          <w:b/>
        </w:rPr>
        <w:t>роекта Постановления администрации городского округа «Город Петровск-Забайкальский» «Об</w:t>
      </w:r>
      <w:r w:rsidR="002310DA">
        <w:rPr>
          <w:rFonts w:ascii="Times New Roman" w:hAnsi="Times New Roman" w:cs="Times New Roman"/>
          <w:b/>
        </w:rPr>
        <w:t xml:space="preserve"> </w:t>
      </w:r>
      <w:r w:rsidR="002310DA" w:rsidRPr="002310DA">
        <w:rPr>
          <w:rFonts w:ascii="Times New Roman" w:hAnsi="Times New Roman" w:cs="Times New Roman"/>
          <w:b/>
        </w:rPr>
        <w:t>утверждении муниципальн</w:t>
      </w:r>
      <w:r w:rsidR="002310DA">
        <w:rPr>
          <w:rFonts w:ascii="Times New Roman" w:hAnsi="Times New Roman" w:cs="Times New Roman"/>
          <w:b/>
        </w:rPr>
        <w:t xml:space="preserve">ой программы </w:t>
      </w:r>
      <w:r w:rsidR="002310DA" w:rsidRPr="002310DA">
        <w:rPr>
          <w:rFonts w:ascii="Times New Roman" w:hAnsi="Times New Roman" w:cs="Times New Roman"/>
          <w:b/>
        </w:rPr>
        <w:t>по противодействию коррупции на 2023-2025 годы»</w:t>
      </w:r>
    </w:p>
    <w:p w:rsidR="00BC3B77" w:rsidRDefault="00BC3B77" w:rsidP="00C1182C">
      <w:pPr>
        <w:jc w:val="both"/>
        <w:rPr>
          <w:rFonts w:ascii="Times New Roman" w:hAnsi="Times New Roman" w:cs="Times New Roman"/>
        </w:rPr>
      </w:pPr>
      <w:r w:rsidRPr="00BC3B77">
        <w:rPr>
          <w:rFonts w:ascii="Times New Roman" w:hAnsi="Times New Roman" w:cs="Times New Roman"/>
        </w:rPr>
        <w:t>По результатам экспертизы установлено:</w:t>
      </w:r>
    </w:p>
    <w:p w:rsidR="00BC3B77" w:rsidRPr="00BC3B77" w:rsidRDefault="00BC3B77" w:rsidP="00BC3B77">
      <w:pPr>
        <w:jc w:val="both"/>
        <w:rPr>
          <w:rFonts w:ascii="Times New Roman" w:hAnsi="Times New Roman" w:cs="Times New Roman"/>
        </w:rPr>
      </w:pPr>
      <w:r w:rsidRPr="00BC3B77">
        <w:rPr>
          <w:rFonts w:ascii="Times New Roman" w:hAnsi="Times New Roman" w:cs="Times New Roman"/>
        </w:rPr>
        <w:t>1. полномочия администрации городского округа «Город Петровск- Забайкальский» на разработку и реализацию муниципальной Программы не противоречат действующему законодательству;</w:t>
      </w:r>
    </w:p>
    <w:p w:rsidR="00BC3B77" w:rsidRPr="00BC3B77" w:rsidRDefault="00BC3B77" w:rsidP="00BC3B77">
      <w:pPr>
        <w:jc w:val="both"/>
        <w:rPr>
          <w:rFonts w:ascii="Times New Roman" w:hAnsi="Times New Roman" w:cs="Times New Roman"/>
        </w:rPr>
      </w:pPr>
      <w:r w:rsidRPr="00BC3B77">
        <w:rPr>
          <w:rFonts w:ascii="Times New Roman" w:hAnsi="Times New Roman" w:cs="Times New Roman"/>
        </w:rPr>
        <w:t>2. необходимость принятия муниципальной Программы является обоснованной;</w:t>
      </w:r>
    </w:p>
    <w:p w:rsidR="00BC3B77" w:rsidRPr="00BC3B77" w:rsidRDefault="00BC3B77" w:rsidP="00BC3B77">
      <w:pPr>
        <w:jc w:val="both"/>
        <w:rPr>
          <w:rFonts w:ascii="Times New Roman" w:hAnsi="Times New Roman" w:cs="Times New Roman"/>
        </w:rPr>
      </w:pPr>
      <w:r w:rsidRPr="00BC3B77">
        <w:rPr>
          <w:rFonts w:ascii="Times New Roman" w:hAnsi="Times New Roman" w:cs="Times New Roman"/>
        </w:rPr>
        <w:t xml:space="preserve">3. период реализации Программы 2023-2025 годы; </w:t>
      </w:r>
    </w:p>
    <w:p w:rsidR="00BC3B77" w:rsidRPr="00C1182C" w:rsidRDefault="00BC3B77" w:rsidP="00BC3B77">
      <w:pPr>
        <w:jc w:val="both"/>
        <w:rPr>
          <w:rFonts w:ascii="Times New Roman" w:hAnsi="Times New Roman" w:cs="Times New Roman"/>
        </w:rPr>
      </w:pPr>
      <w:r w:rsidRPr="00BC3B77">
        <w:rPr>
          <w:rFonts w:ascii="Times New Roman" w:hAnsi="Times New Roman" w:cs="Times New Roman"/>
        </w:rPr>
        <w:t>4. программные мероприятия соответствуют установленным целям и задачам.</w:t>
      </w:r>
    </w:p>
    <w:sectPr w:rsidR="00BC3B77" w:rsidRPr="00C1182C" w:rsidSect="00B9351D">
      <w:pgSz w:w="11906" w:h="16838"/>
      <w:pgMar w:top="426"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946A7"/>
    <w:multiLevelType w:val="hybridMultilevel"/>
    <w:tmpl w:val="E1A40C76"/>
    <w:lvl w:ilvl="0" w:tplc="8D22C26A">
      <w:start w:val="1"/>
      <w:numFmt w:val="decimal"/>
      <w:lvlText w:val="%1."/>
      <w:lvlJc w:val="left"/>
      <w:pPr>
        <w:ind w:left="600" w:hanging="480"/>
      </w:pPr>
      <w:rPr>
        <w:rFonts w:ascii="Times New Roman" w:hAnsi="Times New Roman" w:cs="Times New Roman" w:hint="default"/>
        <w:b w:val="0"/>
        <w:sz w:val="24"/>
        <w:szCs w:val="24"/>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77F36B48"/>
    <w:multiLevelType w:val="hybridMultilevel"/>
    <w:tmpl w:val="E1A40C76"/>
    <w:lvl w:ilvl="0" w:tplc="8D22C26A">
      <w:start w:val="1"/>
      <w:numFmt w:val="decimal"/>
      <w:lvlText w:val="%1."/>
      <w:lvlJc w:val="left"/>
      <w:pPr>
        <w:ind w:left="600" w:hanging="480"/>
      </w:pPr>
      <w:rPr>
        <w:rFonts w:ascii="Times New Roman" w:hAnsi="Times New Roman" w:cs="Times New Roman" w:hint="default"/>
        <w:b w:val="0"/>
        <w:sz w:val="24"/>
        <w:szCs w:val="24"/>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E2"/>
    <w:rsid w:val="000725B4"/>
    <w:rsid w:val="00084609"/>
    <w:rsid w:val="00173ED6"/>
    <w:rsid w:val="002310DA"/>
    <w:rsid w:val="003E2B01"/>
    <w:rsid w:val="00585579"/>
    <w:rsid w:val="005E2061"/>
    <w:rsid w:val="0070332F"/>
    <w:rsid w:val="00717444"/>
    <w:rsid w:val="007403DE"/>
    <w:rsid w:val="00740A5F"/>
    <w:rsid w:val="00752F58"/>
    <w:rsid w:val="007C5FE2"/>
    <w:rsid w:val="008C5133"/>
    <w:rsid w:val="00910B45"/>
    <w:rsid w:val="00AA283C"/>
    <w:rsid w:val="00B9351D"/>
    <w:rsid w:val="00BA45E2"/>
    <w:rsid w:val="00BB71BE"/>
    <w:rsid w:val="00BC3B77"/>
    <w:rsid w:val="00BE692D"/>
    <w:rsid w:val="00C1182C"/>
    <w:rsid w:val="00C730D8"/>
    <w:rsid w:val="00D82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1E117-7047-4A32-9513-75D832FB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2267</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2024-01-11T02:32:00Z</dcterms:created>
  <dcterms:modified xsi:type="dcterms:W3CDTF">2024-01-11T05:29:00Z</dcterms:modified>
</cp:coreProperties>
</file>