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73"/>
      </w:pPr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257425" cy="791681"/>
                <wp:effectExtent l="0" t="0" r="0" b="8890"/>
    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2374754" cy="8328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77.75pt;height:62.34pt;mso-wrap-distance-left:0.00pt;mso-wrap-distance-top:0.00pt;mso-wrap-distance-right:0.00pt;mso-wrap-distance-bottom:0.00pt;" stroked="f">
                <v:path textboxrect="0,0,0,0"/>
                <v:imagedata r:id="rId15" o:title=""/>
              </v:shape>
            </w:pict>
          </mc:Fallback>
        </mc:AlternateContent>
      </w:r>
      <w:r>
        <w:t xml:space="preserve">                                                                                                                                        </w:t>
      </w:r>
      <w:r/>
    </w:p>
    <w:p>
      <w:pPr>
        <w:pStyle w:val="973"/>
      </w:pPr>
      <w:r/>
      <w:r/>
    </w:p>
    <w:p>
      <w:pPr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</w:r>
      <w:r>
        <w:rPr>
          <w:rFonts w:ascii="Segoe UI" w:hAnsi="Segoe UI" w:cs="Segoe UI"/>
          <w:sz w:val="28"/>
          <w:szCs w:val="28"/>
        </w:rPr>
      </w:r>
      <w:r>
        <w:rPr>
          <w:rFonts w:ascii="Segoe UI" w:hAnsi="Segoe UI" w:cs="Segoe UI"/>
          <w:sz w:val="28"/>
          <w:szCs w:val="28"/>
        </w:rPr>
      </w:r>
    </w:p>
    <w:p>
      <w:pPr>
        <w:pStyle w:val="990"/>
        <w:jc w:val="both"/>
        <w:spacing w:line="276" w:lineRule="auto"/>
        <w:tabs>
          <w:tab w:val="left" w:pos="0" w:leader="none"/>
        </w:tabs>
        <w:rPr>
          <w:rFonts w:ascii="Tinos" w:hAnsi="Tinos" w:cs="Tinos"/>
          <w:b/>
          <w:bCs/>
          <w:sz w:val="28"/>
          <w:szCs w:val="28"/>
          <w:u w:val="single"/>
        </w:rPr>
      </w:pPr>
      <w:r>
        <w:rPr>
          <w:rFonts w:ascii="Tinos" w:hAnsi="Tinos" w:eastAsia="Tinos" w:cs="Tinos"/>
          <w:b/>
          <w:bCs/>
          <w:sz w:val="28"/>
          <w:szCs w:val="28"/>
          <w:u w:val="single"/>
          <w:lang w:eastAsia="ru-RU"/>
        </w:rPr>
        <w:t xml:space="preserve">2. НОВШЕСТВА ЗАКОНОДАТЕЛЬСТВА В СФЕРЕ ЗЕМЛИ И НЕДВИЖИМОСТИ В 2025 ГОДУ. </w:t>
      </w:r>
      <w:r>
        <w:rPr>
          <w:rFonts w:ascii="Tinos" w:hAnsi="Tinos" w:cs="Tinos"/>
          <w:b/>
          <w:bCs/>
          <w:sz w:val="28"/>
          <w:szCs w:val="28"/>
          <w:u w:val="single"/>
        </w:rPr>
      </w:r>
      <w:r>
        <w:rPr>
          <w:rFonts w:ascii="Tinos" w:hAnsi="Tinos" w:cs="Tinos"/>
          <w:b/>
          <w:bCs/>
          <w:sz w:val="28"/>
          <w:szCs w:val="28"/>
          <w:u w:val="single"/>
        </w:rPr>
      </w:r>
    </w:p>
    <w:p>
      <w:pPr>
        <w:jc w:val="both"/>
        <w:spacing w:after="0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contextualSpacing w:val="0"/>
        <w:jc w:val="both"/>
        <w:spacing w:before="57" w:after="57" w:line="283" w:lineRule="atLeast"/>
        <w:shd w:val="nil" w:color="auto"/>
        <w:rPr>
          <w:rFonts w:ascii="Tinos" w:hAnsi="Tinos" w:cs="Tinos"/>
          <w:sz w:val="28"/>
          <w:szCs w:val="28"/>
          <w:highlight w:val="white"/>
          <w14:ligatures w14:val="none"/>
        </w:rPr>
        <w:suppressLineNumbers w:val="0"/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Росреестр ведет очень активную законотворческую деятельность. Только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с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 начала 2024 года принято 20 федеральных законов, разработанных при участии ведомства.</w:t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</w:p>
    <w:p>
      <w:pPr>
        <w:contextualSpacing w:val="0"/>
        <w:jc w:val="both"/>
        <w:spacing w:before="57" w:after="57" w:line="283" w:lineRule="atLeast"/>
        <w:shd w:val="nil" w:color="000000"/>
        <w:rPr>
          <w:rFonts w:ascii="Tinos" w:hAnsi="Tinos" w:cs="Tinos"/>
          <w:sz w:val="28"/>
          <w:szCs w:val="28"/>
          <w:highlight w:val="white"/>
          <w14:ligatures w14:val="none"/>
        </w:rPr>
        <w:suppressLineNumbers w:val="0"/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</w:p>
    <w:p>
      <w:pPr>
        <w:contextualSpacing w:val="0"/>
        <w:jc w:val="both"/>
        <w:spacing w:before="57" w:after="57" w:line="283" w:lineRule="atLeast"/>
        <w:shd w:val="nil" w:color="000000"/>
        <w:rPr>
          <w:rFonts w:ascii="Tinos" w:hAnsi="Tinos" w:cs="Tinos"/>
          <w:sz w:val="28"/>
          <w:szCs w:val="28"/>
          <w:highlight w:val="none"/>
          <w14:ligatures w14:val="none"/>
        </w:rPr>
        <w:suppressLineNumbers w:val="0"/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Среди них важные законодательные инициативы, направленные на совершенствование сферы регистрации прав и кадастрового учёта, а также на повышение доступности услуг 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ведомства и качества жизни граждан. </w:t>
      </w:r>
      <w:r>
        <w:rPr>
          <w:rFonts w:ascii="Tinos" w:hAnsi="Tinos" w:cs="Tinos"/>
          <w:sz w:val="28"/>
          <w:szCs w:val="28"/>
          <w:highlight w:val="none"/>
          <w14:ligatures w14:val="none"/>
        </w:rPr>
      </w:r>
      <w:r>
        <w:rPr>
          <w:rFonts w:ascii="Tinos" w:hAnsi="Tinos" w:cs="Tinos"/>
          <w:sz w:val="28"/>
          <w:szCs w:val="28"/>
          <w:highlight w:val="none"/>
          <w14:ligatures w14:val="none"/>
        </w:rPr>
      </w:r>
    </w:p>
    <w:p>
      <w:pPr>
        <w:contextualSpacing w:val="0"/>
        <w:jc w:val="both"/>
        <w:spacing w:before="57" w:after="57" w:line="283" w:lineRule="atLeast"/>
        <w:shd w:val="nil" w:color="auto"/>
        <w:rPr>
          <w:rFonts w:ascii="Tinos" w:hAnsi="Tinos" w:cs="Tinos"/>
          <w:sz w:val="28"/>
          <w:szCs w:val="28"/>
          <w:highlight w:val="white"/>
          <w14:ligatures w14:val="none"/>
        </w:rPr>
        <w:suppressLineNumbers w:val="0"/>
      </w:pP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</w:p>
    <w:p>
      <w:pPr>
        <w:contextualSpacing w:val="0"/>
        <w:jc w:val="both"/>
        <w:spacing w:before="57" w:after="57" w:line="283" w:lineRule="atLeast"/>
        <w:shd w:val="nil" w:color="auto"/>
        <w:rPr>
          <w:rFonts w:ascii="Tinos" w:hAnsi="Tinos" w:cs="Tinos"/>
          <w:sz w:val="28"/>
          <w:szCs w:val="28"/>
          <w:highlight w:val="none"/>
          <w14:ligatures w14:val="none"/>
        </w:rPr>
        <w:suppressLineNumbers w:val="0"/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В частности, </w:t>
      </w:r>
      <w:r>
        <w:rPr>
          <w:rFonts w:ascii="Tinos" w:hAnsi="Tinos" w:eastAsia="Tinos" w:cs="Tinos"/>
          <w:b/>
          <w:bCs/>
          <w:sz w:val="28"/>
          <w:szCs w:val="28"/>
          <w:highlight w:val="none"/>
        </w:rPr>
        <w:t xml:space="preserve">с 1 марта 2025 года вступили в силу несколько новелл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.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Расскажем о некоторых из них.</w:t>
      </w:r>
      <w:r>
        <w:rPr>
          <w:rFonts w:ascii="Tinos" w:hAnsi="Tinos" w:cs="Tinos"/>
          <w:sz w:val="28"/>
          <w:szCs w:val="28"/>
          <w:highlight w:val="none"/>
          <w14:ligatures w14:val="none"/>
        </w:rPr>
      </w:r>
      <w:r>
        <w:rPr>
          <w:rFonts w:ascii="Tinos" w:hAnsi="Tinos" w:cs="Tinos"/>
          <w:sz w:val="28"/>
          <w:szCs w:val="28"/>
          <w:highlight w:val="none"/>
          <w14:ligatures w14:val="none"/>
        </w:rPr>
      </w:r>
    </w:p>
    <w:p>
      <w:pPr>
        <w:contextualSpacing w:val="0"/>
        <w:jc w:val="both"/>
        <w:spacing w:before="57" w:after="57" w:line="283" w:lineRule="atLeast"/>
        <w:shd w:val="nil" w:color="000000"/>
        <w:rPr>
          <w:rFonts w:ascii="Tinos" w:hAnsi="Tinos" w:cs="Tinos"/>
          <w:sz w:val="28"/>
          <w:szCs w:val="28"/>
          <w:highlight w:val="white"/>
          <w14:ligatures w14:val="none"/>
        </w:rPr>
        <w:suppressLineNumbers w:val="0"/>
      </w:pPr>
      <w:r>
        <w:rPr>
          <w:rFonts w:ascii="Tinos" w:hAnsi="Tinos" w:eastAsia="Tinos" w:cs="Tinos"/>
          <w:sz w:val="28"/>
          <w:szCs w:val="28"/>
          <w:highlight w:val="white"/>
          <w14:ligatures w14:val="non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</w:p>
    <w:p>
      <w:pPr>
        <w:pStyle w:val="975"/>
        <w:numPr>
          <w:ilvl w:val="0"/>
          <w:numId w:val="12"/>
        </w:numPr>
        <w:contextualSpacing w:val="0"/>
        <w:ind w:left="0" w:right="0" w:firstLine="0"/>
        <w:jc w:val="both"/>
        <w:spacing w:before="57" w:after="57" w:line="283" w:lineRule="atLeast"/>
        <w:shd w:val="nil" w:color="000000"/>
        <w:rPr>
          <w:rFonts w:ascii="Tinos" w:hAnsi="Tinos" w:cs="Tinos"/>
          <w:b/>
          <w:bCs/>
          <w:sz w:val="28"/>
          <w:szCs w:val="28"/>
          <w:highlight w:val="none"/>
          <w14:ligatures w14:val="none"/>
        </w:rPr>
        <w:suppressLineNumbers w:val="0"/>
      </w:pPr>
      <w:r>
        <w:rPr>
          <w:rFonts w:ascii="Tinos" w:hAnsi="Tinos" w:eastAsia="Tinos" w:cs="Tinos"/>
          <w:b/>
          <w:bCs/>
          <w:sz w:val="28"/>
          <w:szCs w:val="28"/>
          <w:highlight w:val="none"/>
          <w14:ligatures w14:val="none"/>
        </w:rPr>
        <w:t xml:space="preserve">Юридические лица подают обращения в Росреестр только в электронном виде</w:t>
      </w:r>
      <w:r>
        <w:rPr>
          <w:rFonts w:ascii="Tinos" w:hAnsi="Tinos" w:cs="Tinos"/>
          <w:b/>
          <w:bCs/>
          <w:sz w:val="28"/>
          <w:szCs w:val="28"/>
          <w:highlight w:val="none"/>
          <w14:ligatures w14:val="none"/>
        </w:rPr>
        <w:t xml:space="preserve">.</w:t>
      </w:r>
      <w:r>
        <w:rPr>
          <w:rFonts w:ascii="Tinos" w:hAnsi="Tinos" w:cs="Tinos"/>
          <w:b/>
          <w:bCs/>
          <w:sz w:val="28"/>
          <w:szCs w:val="28"/>
          <w:highlight w:val="none"/>
          <w14:ligatures w14:val="none"/>
        </w:rPr>
      </w:r>
    </w:p>
    <w:p>
      <w:pPr>
        <w:contextualSpacing w:val="0"/>
        <w:jc w:val="both"/>
        <w:spacing w:before="57" w:after="57" w:line="283" w:lineRule="atLeast"/>
        <w:shd w:val="nil" w:color="000000"/>
        <w:rPr>
          <w:rFonts w:ascii="Tinos" w:hAnsi="Tinos" w:cs="Tinos"/>
          <w:sz w:val="28"/>
          <w:szCs w:val="28"/>
          <w:highlight w:val="white"/>
          <w14:ligatures w14:val="none"/>
        </w:rPr>
        <w:suppressLineNumbers w:val="0"/>
      </w:pPr>
      <w:r>
        <w:rPr>
          <w:rFonts w:ascii="Tinos" w:hAnsi="Tinos" w:eastAsia="Tinos" w:cs="Tinos"/>
          <w:sz w:val="28"/>
          <w:szCs w:val="28"/>
          <w:highlight w:val="none"/>
          <w14:ligatures w14:val="non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  <w:t xml:space="preserve">Федеральным</w:t>
      </w:r>
      <w:r>
        <w:rPr>
          <w:rFonts w:ascii="Tinos" w:hAnsi="Tinos" w:eastAsia="Tinos" w:cs="Tinos"/>
          <w:sz w:val="28"/>
          <w:szCs w:val="28"/>
        </w:rPr>
        <w:t xml:space="preserve"> закон</w:t>
      </w:r>
      <w:r>
        <w:rPr>
          <w:rFonts w:ascii="Tinos" w:hAnsi="Tinos" w:eastAsia="Tinos" w:cs="Tinos"/>
          <w:sz w:val="28"/>
          <w:szCs w:val="28"/>
        </w:rPr>
        <w:t xml:space="preserve">ом</w:t>
      </w:r>
      <w:r>
        <w:rPr>
          <w:rFonts w:ascii="Tinos" w:hAnsi="Tinos" w:eastAsia="Tinos" w:cs="Tinos"/>
          <w:sz w:val="28"/>
          <w:szCs w:val="28"/>
        </w:rPr>
        <w:t xml:space="preserve"> от 26.12.2024 № 487-ФЗ </w:t>
      </w:r>
      <w:r>
        <w:rPr>
          <w:rFonts w:ascii="Tinos" w:hAnsi="Tinos" w:eastAsia="Tinos" w:cs="Tinos"/>
          <w:sz w:val="28"/>
          <w:szCs w:val="28"/>
        </w:rPr>
        <w:t xml:space="preserve">определен</w:t>
      </w:r>
      <w:r>
        <w:rPr>
          <w:rFonts w:ascii="Tinos" w:hAnsi="Tinos" w:eastAsia="Tinos" w:cs="Tinos"/>
          <w:sz w:val="28"/>
          <w:szCs w:val="28"/>
        </w:rPr>
        <w:t xml:space="preserve"> новый п</w:t>
      </w:r>
      <w:bookmarkStart w:id="0" w:name="undefined"/>
      <w:r>
        <w:rPr>
          <w:rFonts w:ascii="Tinos" w:hAnsi="Tinos" w:eastAsia="Tinos" w:cs="Tinos"/>
          <w:sz w:val="28"/>
          <w:szCs w:val="28"/>
        </w:rPr>
      </w:r>
      <w:bookmarkEnd w:id="0"/>
      <w:r>
        <w:rPr>
          <w:rFonts w:ascii="Tinos" w:hAnsi="Tinos" w:eastAsia="Tinos" w:cs="Tinos"/>
          <w:sz w:val="28"/>
          <w:szCs w:val="28"/>
        </w:rPr>
        <w:t xml:space="preserve">орядок электронного взаимодействия между </w:t>
      </w:r>
      <w:r>
        <w:rPr>
          <w:rFonts w:ascii="Tinos" w:hAnsi="Tinos" w:eastAsia="Tinos" w:cs="Tinos"/>
          <w:sz w:val="28"/>
          <w:szCs w:val="28"/>
        </w:rPr>
        <w:t xml:space="preserve">Росреестром</w:t>
      </w:r>
      <w:r>
        <w:rPr>
          <w:rFonts w:ascii="Tinos" w:hAnsi="Tinos" w:eastAsia="Tinos" w:cs="Tinos"/>
          <w:sz w:val="28"/>
          <w:szCs w:val="28"/>
        </w:rPr>
        <w:t xml:space="preserve"> и юридическими лицами. 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firstLine="567"/>
        <w:jc w:val="both"/>
        <w:spacing w:after="0" w:line="240" w:lineRule="auto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firstLine="567"/>
        <w:jc w:val="both"/>
        <w:spacing w:after="0" w:line="240" w:lineRule="auto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  <w:t xml:space="preserve">С 1 марта 2025 года юридические лица подают заявления на государственный кадастровый учёт и государственную </w:t>
      </w:r>
      <w:r>
        <w:rPr>
          <w:rFonts w:ascii="Tinos" w:hAnsi="Tinos" w:eastAsia="Tinos" w:cs="Tinos"/>
          <w:sz w:val="28"/>
          <w:szCs w:val="28"/>
        </w:rPr>
        <w:t xml:space="preserve">регистрацию прав с прилагаемыми к ним документами только в электронной форме. Бумажные документы возвращаются без рассмотрения.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firstLine="567"/>
        <w:jc w:val="both"/>
        <w:spacing w:after="0" w:line="240" w:lineRule="auto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firstLine="567"/>
        <w:jc w:val="both"/>
        <w:spacing w:after="0" w:line="240" w:lineRule="auto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  <w:t xml:space="preserve">Исключением </w:t>
      </w:r>
      <w:r>
        <w:rPr>
          <w:rFonts w:ascii="Tinos" w:hAnsi="Tinos" w:eastAsia="Tinos" w:cs="Tinos"/>
          <w:sz w:val="28"/>
          <w:szCs w:val="28"/>
        </w:rPr>
        <w:t xml:space="preserve">являются случаи, когда стороной сделки, подлежащей государственной регистрации, или сделки, на основании которой регистрируется соответствующее право (ограничение или обременение), является физическое лицо (кроме договоров участия в долевом строительстве).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firstLine="567"/>
        <w:jc w:val="both"/>
        <w:spacing w:after="0" w:line="240" w:lineRule="auto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firstLine="567"/>
        <w:jc w:val="both"/>
        <w:spacing w:after="0" w:line="240" w:lineRule="auto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  <w:t xml:space="preserve">Возможность подачи в регистрирующий орган заявления на бума</w:t>
      </w:r>
      <w:r>
        <w:rPr>
          <w:rFonts w:ascii="Tinos" w:hAnsi="Tinos" w:eastAsia="Tinos" w:cs="Tinos"/>
          <w:sz w:val="28"/>
          <w:szCs w:val="28"/>
        </w:rPr>
        <w:t xml:space="preserve">жном носителе сохранится до 1 января 2026 г. за рядом юридических лиц: крестьянскими (фермерскими) хозяйствами, садоводческими и огородническими товариществами, гаражными, жилищными и жилищно-строительными кооперативами, товариществами собственников жилья.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firstLine="567"/>
        <w:jc w:val="both"/>
        <w:spacing w:after="0" w:line="240" w:lineRule="auto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firstLine="567"/>
        <w:jc w:val="both"/>
        <w:spacing w:after="0" w:line="240" w:lineRule="auto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  <w:t xml:space="preserve">Законом также установлено, что юридическое лицо вправе подать документы в регистрирующий орган на бумажном носителе при наличии временной технической невозможности обращения в электронной форме.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firstLine="567"/>
        <w:jc w:val="both"/>
        <w:spacing w:after="0" w:line="240" w:lineRule="auto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left="0" w:right="0" w:firstLine="0"/>
        <w:jc w:val="both"/>
        <w:spacing w:after="0" w:line="240" w:lineRule="auto"/>
        <w:rPr>
          <w:rFonts w:ascii="Tinos" w:hAnsi="Tinos" w:cs="Tinos"/>
          <w:b/>
          <w:bCs/>
          <w:sz w:val="28"/>
          <w:szCs w:val="28"/>
        </w:rPr>
      </w:pPr>
      <w:r>
        <w:rPr>
          <w:rFonts w:ascii="Tinos" w:hAnsi="Tinos" w:eastAsia="Tinos" w:cs="Tinos"/>
          <w:b/>
          <w:sz w:val="28"/>
          <w:szCs w:val="28"/>
        </w:rPr>
        <w:t xml:space="preserve">2. Р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егистрация договоров участия в долевом строительстве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.</w:t>
      </w:r>
      <w:r>
        <w:rPr>
          <w:rFonts w:ascii="Tinos" w:hAnsi="Tinos" w:cs="Tinos"/>
          <w:b/>
          <w:bCs/>
          <w:sz w:val="28"/>
          <w:szCs w:val="28"/>
        </w:rPr>
      </w:r>
      <w:r>
        <w:rPr>
          <w:rFonts w:ascii="Tinos" w:hAnsi="Tinos" w:cs="Tinos"/>
          <w:b/>
          <w:bCs/>
          <w:sz w:val="28"/>
          <w:szCs w:val="28"/>
        </w:rPr>
      </w:r>
    </w:p>
    <w:p>
      <w:pPr>
        <w:ind w:firstLine="567"/>
        <w:jc w:val="both"/>
        <w:spacing w:after="0" w:line="240" w:lineRule="auto"/>
        <w:rPr>
          <w:rFonts w:ascii="Tinos" w:hAnsi="Tinos" w:cs="Tinos"/>
          <w:b/>
          <w:bCs/>
          <w:sz w:val="28"/>
          <w:szCs w:val="28"/>
        </w:rPr>
      </w:pPr>
      <w:r>
        <w:rPr>
          <w:rFonts w:ascii="Tinos" w:hAnsi="Tinos" w:eastAsia="Tinos" w:cs="Tinos"/>
          <w:b/>
          <w:bCs/>
          <w:sz w:val="28"/>
          <w:szCs w:val="28"/>
        </w:rPr>
      </w:r>
      <w:r>
        <w:rPr>
          <w:rFonts w:ascii="Tinos" w:hAnsi="Tinos" w:cs="Tinos"/>
          <w:b/>
          <w:bCs/>
          <w:sz w:val="28"/>
          <w:szCs w:val="28"/>
        </w:rPr>
      </w:r>
      <w:r>
        <w:rPr>
          <w:rFonts w:ascii="Tinos" w:hAnsi="Tinos" w:cs="Tinos"/>
          <w:b/>
          <w:bCs/>
          <w:sz w:val="28"/>
          <w:szCs w:val="28"/>
        </w:rPr>
      </w:r>
    </w:p>
    <w:p>
      <w:pPr>
        <w:ind w:firstLine="567"/>
        <w:jc w:val="both"/>
        <w:spacing w:after="0" w:line="240" w:lineRule="auto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  <w:t xml:space="preserve">Договоры участия в долевом строительстве предоставляются на государственную регистрацию только в форме электронных документов. Подписанный собственноручными подписями скан-образ бумажного договора не является электронным документом.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firstLine="567"/>
        <w:jc w:val="both"/>
        <w:spacing w:after="0" w:line="240" w:lineRule="auto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firstLine="567"/>
        <w:jc w:val="both"/>
        <w:spacing w:after="0" w:line="240" w:lineRule="auto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  <w:t xml:space="preserve">Закон 487-ФЗ обязал застройщиков после подписания передаточного акта самостоятельно направлять в </w:t>
      </w:r>
      <w:r>
        <w:rPr>
          <w:rFonts w:ascii="Tinos" w:hAnsi="Tinos" w:eastAsia="Tinos" w:cs="Tinos"/>
          <w:sz w:val="28"/>
          <w:szCs w:val="28"/>
        </w:rPr>
        <w:t xml:space="preserve">Росреестр</w:t>
      </w:r>
      <w:r>
        <w:rPr>
          <w:rFonts w:ascii="Tinos" w:hAnsi="Tinos" w:eastAsia="Tinos" w:cs="Tinos"/>
          <w:sz w:val="28"/>
          <w:szCs w:val="28"/>
        </w:rPr>
        <w:t xml:space="preserve"> заявления и документы для государственной регистрации права собственности участника долевого строительства исключительно в электронной форме.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firstLine="567"/>
        <w:jc w:val="both"/>
        <w:spacing w:after="0" w:line="240" w:lineRule="auto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firstLine="567"/>
        <w:jc w:val="both"/>
        <w:spacing w:after="0" w:line="240" w:lineRule="auto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  <w:t xml:space="preserve">Таким образом, электронный формат взаимодействия застройщиков с регистрирующим органом будет обязательным.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firstLine="567"/>
        <w:jc w:val="both"/>
        <w:spacing w:after="0" w:line="240" w:lineRule="auto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firstLine="567"/>
        <w:jc w:val="both"/>
        <w:spacing w:after="0" w:line="240" w:lineRule="auto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  <w:t xml:space="preserve">После завершения процедуры регистрации застройщик должен передать участнику долевого строительства выписку из </w:t>
      </w:r>
      <w:r>
        <w:rPr>
          <w:rFonts w:ascii="Tinos" w:hAnsi="Tinos" w:eastAsia="Tinos" w:cs="Tinos"/>
          <w:sz w:val="28"/>
          <w:szCs w:val="28"/>
        </w:rPr>
        <w:t xml:space="preserve">ЕГРН</w:t>
      </w:r>
      <w:r>
        <w:rPr>
          <w:rFonts w:ascii="Tinos" w:hAnsi="Tinos" w:eastAsia="Tinos" w:cs="Tinos"/>
          <w:sz w:val="28"/>
          <w:szCs w:val="28"/>
        </w:rPr>
        <w:t xml:space="preserve">.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firstLine="567"/>
        <w:jc w:val="both"/>
        <w:spacing w:after="0" w:line="240" w:lineRule="auto"/>
        <w:rPr>
          <w:rFonts w:ascii="Tinos" w:hAnsi="Tinos" w:cs="Tinos"/>
          <w:b/>
          <w:sz w:val="28"/>
          <w:szCs w:val="28"/>
        </w:rPr>
      </w:pPr>
      <w:r>
        <w:rPr>
          <w:rFonts w:ascii="Tinos" w:hAnsi="Tinos" w:eastAsia="Tinos" w:cs="Tinos"/>
          <w:b/>
          <w:sz w:val="28"/>
          <w:szCs w:val="28"/>
        </w:rPr>
      </w:r>
      <w:r>
        <w:rPr>
          <w:rFonts w:ascii="Tinos" w:hAnsi="Tinos" w:cs="Tinos"/>
          <w:b/>
          <w:sz w:val="28"/>
          <w:szCs w:val="28"/>
        </w:rPr>
      </w:r>
      <w:r>
        <w:rPr>
          <w:rFonts w:ascii="Tinos" w:hAnsi="Tinos" w:cs="Tinos"/>
          <w:b/>
          <w:sz w:val="28"/>
          <w:szCs w:val="28"/>
        </w:rPr>
      </w:r>
    </w:p>
    <w:p>
      <w:pPr>
        <w:ind w:left="0" w:right="0" w:firstLine="0"/>
        <w:jc w:val="both"/>
        <w:spacing w:after="0" w:line="240" w:lineRule="auto"/>
        <w:rPr>
          <w:rFonts w:ascii="Tinos" w:hAnsi="Tinos" w:cs="Tinos"/>
          <w:b/>
          <w:bCs/>
          <w:sz w:val="28"/>
          <w:szCs w:val="28"/>
        </w:rPr>
      </w:pPr>
      <w:r>
        <w:rPr>
          <w:rFonts w:ascii="Tinos" w:hAnsi="Tinos" w:eastAsia="Tinos" w:cs="Tinos"/>
          <w:b/>
          <w:bCs/>
          <w:sz w:val="28"/>
          <w:szCs w:val="28"/>
          <w:highlight w:val="none"/>
        </w:rPr>
        <w:t xml:space="preserve">3. Договоры дарения теперь подлежат обязательному нотариальному удостоверению.</w:t>
      </w:r>
      <w:r>
        <w:rPr>
          <w:rFonts w:ascii="Tinos" w:hAnsi="Tinos" w:cs="Tinos"/>
          <w:b/>
          <w:bCs/>
          <w:sz w:val="28"/>
          <w:szCs w:val="28"/>
        </w:rPr>
      </w:r>
      <w:r>
        <w:rPr>
          <w:rFonts w:ascii="Tinos" w:hAnsi="Tinos" w:cs="Tinos"/>
          <w:b/>
          <w:bCs/>
          <w:sz w:val="28"/>
          <w:szCs w:val="28"/>
        </w:rPr>
      </w:r>
    </w:p>
    <w:p>
      <w:pPr>
        <w:ind w:left="567" w:right="0" w:firstLine="0"/>
        <w:jc w:val="both"/>
        <w:spacing w:after="0" w:line="240" w:lineRule="auto"/>
        <w:rPr>
          <w:rFonts w:ascii="Tinos" w:hAnsi="Tinos" w:cs="Tinos"/>
          <w:b/>
          <w:bCs/>
          <w:sz w:val="28"/>
          <w:szCs w:val="28"/>
        </w:rPr>
      </w:pPr>
      <w:r>
        <w:rPr>
          <w:rFonts w:ascii="Tinos" w:hAnsi="Tinos" w:eastAsia="Tinos" w:cs="Tinos"/>
          <w:b/>
          <w:bCs/>
          <w:sz w:val="28"/>
          <w:szCs w:val="28"/>
          <w:highlight w:val="none"/>
        </w:rPr>
      </w:r>
      <w:r>
        <w:rPr>
          <w:rFonts w:ascii="Tinos" w:hAnsi="Tinos" w:cs="Tinos"/>
          <w:b/>
          <w:bCs/>
          <w:sz w:val="28"/>
          <w:szCs w:val="28"/>
        </w:rPr>
      </w:r>
      <w:r>
        <w:rPr>
          <w:rFonts w:ascii="Tinos" w:hAnsi="Tinos" w:cs="Tinos"/>
          <w:b/>
          <w:bCs/>
          <w:sz w:val="28"/>
          <w:szCs w:val="28"/>
        </w:rPr>
      </w:r>
    </w:p>
    <w:p>
      <w:pPr>
        <w:contextualSpacing w:val="0"/>
        <w:ind w:left="0" w:right="0" w:firstLine="567"/>
        <w:jc w:val="both"/>
        <w:spacing w:before="57" w:after="57" w:line="283" w:lineRule="atLeast"/>
        <w:shd w:val="nil" w:color="000000"/>
        <w:rPr>
          <w:rFonts w:ascii="Tinos" w:hAnsi="Tinos" w:cs="Tinos"/>
          <w:sz w:val="28"/>
          <w:szCs w:val="28"/>
          <w:highlight w:val="white"/>
          <w14:ligatures w14:val="none"/>
        </w:rPr>
        <w:suppressLineNumbers w:val="0"/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13 января 2025 года вступил в силу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ф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едеральный закон № 459-ФЗ об обязательном нотариальном удостоверении всех договоров дарения недвижимости.</w:t>
      </w:r>
      <w:r>
        <w:rPr>
          <w:rFonts w:ascii="Tinos" w:hAnsi="Tinos" w:eastAsia="Tinos" w:cs="Tinos"/>
          <w:sz w:val="28"/>
          <w:szCs w:val="28"/>
        </w:rPr>
        <w:t xml:space="preserve"> </w:t>
      </w:r>
      <w:r>
        <w:rPr>
          <w:rFonts w:ascii="Tinos" w:hAnsi="Tinos" w:eastAsia="Tinos" w:cs="Tinos"/>
          <w:sz w:val="28"/>
          <w:szCs w:val="28"/>
        </w:rPr>
        <w:t xml:space="preserve">Изменения внесены в Гражданский кодекс РФ.</w:t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</w:p>
    <w:p>
      <w:pPr>
        <w:contextualSpacing w:val="0"/>
        <w:ind w:left="0" w:right="0" w:firstLine="567"/>
        <w:jc w:val="both"/>
        <w:spacing w:before="57" w:after="57" w:line="283" w:lineRule="atLeast"/>
        <w:shd w:val="nil" w:color="000000"/>
        <w:rPr>
          <w:rFonts w:ascii="Tinos" w:hAnsi="Tinos" w:cs="Tinos"/>
          <w:sz w:val="28"/>
          <w:szCs w:val="28"/>
          <w:highlight w:val="white"/>
          <w14:ligatures w14:val="none"/>
        </w:rPr>
        <w:suppressLineNumbers w:val="0"/>
      </w:pP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</w:p>
    <w:p>
      <w:pPr>
        <w:contextualSpacing w:val="0"/>
        <w:ind w:left="0" w:right="0" w:firstLine="567"/>
        <w:jc w:val="both"/>
        <w:spacing w:before="57" w:after="57" w:line="283" w:lineRule="atLeast"/>
        <w:shd w:val="nil" w:color="000000"/>
        <w:rPr>
          <w:rFonts w:ascii="Tinos" w:hAnsi="Tinos" w:cs="Tinos"/>
          <w:sz w:val="28"/>
          <w:szCs w:val="28"/>
          <w:highlight w:val="white"/>
          <w14:ligatures w14:val="none"/>
        </w:rPr>
        <w:suppressLineNumbers w:val="0"/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Н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отариусы берут на себя юридическое сопровождение договоров дарения, тем самым снижая вероятность ошибок и упрощая процедуру для граждан.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 Также сотрудник нотариата 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самостоятельно отправляет документы на регистрацию в Росреестр в электронном виде. </w:t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</w:p>
    <w:p>
      <w:pPr>
        <w:contextualSpacing w:val="0"/>
        <w:ind w:left="0" w:right="0" w:firstLine="567"/>
        <w:jc w:val="both"/>
        <w:spacing w:before="57" w:after="57" w:line="283" w:lineRule="atLeast"/>
        <w:shd w:val="nil" w:color="000000"/>
        <w:rPr>
          <w:rFonts w:ascii="Tinos" w:hAnsi="Tinos" w:cs="Tinos"/>
          <w:sz w:val="28"/>
          <w:szCs w:val="28"/>
          <w:highlight w:val="white"/>
          <w14:ligatures w14:val="none"/>
        </w:rPr>
        <w:suppressLineNumbers w:val="0"/>
      </w:pP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</w:p>
    <w:p>
      <w:pPr>
        <w:contextualSpacing w:val="0"/>
        <w:ind w:left="0" w:right="0" w:firstLine="567"/>
        <w:jc w:val="both"/>
        <w:spacing w:before="57" w:after="57" w:line="283" w:lineRule="atLeast"/>
        <w:shd w:val="nil" w:color="000000"/>
        <w:rPr>
          <w:rFonts w:ascii="Tinos" w:hAnsi="Tinos" w:cs="Tinos"/>
          <w:sz w:val="28"/>
          <w:szCs w:val="28"/>
          <w:highlight w:val="white"/>
          <w14:ligatures w14:val="none"/>
        </w:rPr>
        <w:suppressLineNumbers w:val="0"/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Новелла позволит провести более тщательную подготовку договоров дарения и обезопасит всех участников сделки.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Безусловно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 снизятся риски судебных разбирательств и мошенничеств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а.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Нотариусы при удостоверении сделки беседуют с заявителями, проверяют их дееспособность, уточняют их волю и разъясняют им последствия заключения договора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.</w:t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</w:p>
    <w:p>
      <w:pPr>
        <w:contextualSpacing w:val="0"/>
        <w:ind w:left="0" w:right="0" w:firstLine="567"/>
        <w:jc w:val="both"/>
        <w:spacing w:before="57" w:after="57" w:line="283" w:lineRule="atLeast"/>
        <w:shd w:val="nil" w:color="000000"/>
        <w:rPr>
          <w:rFonts w:ascii="Tinos" w:hAnsi="Tinos" w:cs="Tinos"/>
          <w:sz w:val="28"/>
          <w:szCs w:val="28"/>
          <w:highlight w:val="none"/>
          <w14:ligatures w14:val="none"/>
        </w:rPr>
        <w:suppressLineNumbers w:val="0"/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  <w14:ligatures w14:val="none"/>
        </w:rPr>
      </w:r>
      <w:r>
        <w:rPr>
          <w:rFonts w:ascii="Tinos" w:hAnsi="Tinos" w:cs="Tinos"/>
          <w:sz w:val="28"/>
          <w:szCs w:val="28"/>
          <w:highlight w:val="none"/>
          <w14:ligatures w14:val="none"/>
        </w:rPr>
      </w:r>
    </w:p>
    <w:p>
      <w:pPr>
        <w:contextualSpacing w:val="0"/>
        <w:ind w:left="0" w:right="0" w:firstLine="0"/>
        <w:jc w:val="both"/>
        <w:spacing w:before="57" w:after="57" w:line="283" w:lineRule="atLeast"/>
        <w:shd w:val="nil" w:color="000000"/>
        <w:rPr>
          <w:rFonts w:ascii="Tinos" w:hAnsi="Tinos" w:cs="Tinos"/>
          <w:sz w:val="32"/>
          <w:szCs w:val="32"/>
          <w:highlight w:val="none"/>
          <w:u w:val="single"/>
          <w14:ligatures w14:val="none"/>
        </w:rPr>
        <w:suppressLineNumbers w:val="0"/>
      </w:pPr>
      <w:r>
        <w:rPr>
          <w:rFonts w:ascii="Tinos" w:hAnsi="Tinos" w:eastAsia="Tinos" w:cs="Tinos"/>
          <w:i/>
          <w:iCs/>
          <w:sz w:val="28"/>
          <w:szCs w:val="28"/>
          <w:highlight w:val="none"/>
          <w:u w:val="single"/>
          <w14:ligatures w14:val="none"/>
        </w:rPr>
        <w:t xml:space="preserve">СТАТИСТИКА </w:t>
      </w:r>
      <w:r>
        <w:rPr>
          <w:rFonts w:ascii="Tinos" w:hAnsi="Tinos" w:eastAsia="Tinos" w:cs="Tinos"/>
          <w:i/>
          <w:iCs/>
          <w:sz w:val="28"/>
          <w:szCs w:val="28"/>
          <w:highlight w:val="none"/>
          <w:u w:val="single"/>
          <w14:ligatures w14:val="none"/>
        </w:rPr>
        <w:t xml:space="preserve">по государственной регистрации договоров дарения </w:t>
      </w:r>
      <w:r>
        <w:rPr>
          <w:rFonts w:ascii="Tinos" w:hAnsi="Tinos" w:eastAsia="Tinos" w:cs="Tinos"/>
          <w:i/>
          <w:iCs/>
          <w:sz w:val="28"/>
          <w:szCs w:val="28"/>
          <w:highlight w:val="none"/>
          <w:u w:val="single"/>
          <w14:ligatures w14:val="none"/>
        </w:rPr>
        <w:t xml:space="preserve">в Забайкальском крае</w:t>
      </w:r>
      <w:r>
        <w:rPr>
          <w:rFonts w:ascii="Tinos" w:hAnsi="Tinos" w:cs="Tinos"/>
          <w:sz w:val="32"/>
          <w:szCs w:val="32"/>
          <w:highlight w:val="none"/>
          <w:u w:val="single"/>
          <w14:ligatures w14:val="none"/>
        </w:rPr>
      </w:r>
      <w:r>
        <w:rPr>
          <w:rFonts w:ascii="Tinos" w:hAnsi="Tinos" w:cs="Tinos"/>
          <w:sz w:val="32"/>
          <w:szCs w:val="32"/>
          <w:highlight w:val="none"/>
          <w:u w:val="single"/>
          <w14:ligatures w14:val="none"/>
        </w:rPr>
      </w:r>
    </w:p>
    <w:p>
      <w:pPr>
        <w:contextualSpacing w:val="0"/>
        <w:ind w:left="0" w:right="0" w:firstLine="0"/>
        <w:jc w:val="both"/>
        <w:spacing w:before="57" w:after="57" w:line="283" w:lineRule="atLeast"/>
        <w:shd w:val="nil" w:color="000000"/>
        <w:rPr>
          <w:rFonts w:ascii="Tinos" w:hAnsi="Tinos" w:cs="Tinos"/>
          <w:sz w:val="28"/>
          <w:szCs w:val="28"/>
          <w:highlight w:val="none"/>
          <w14:ligatures w14:val="none"/>
        </w:rPr>
        <w:suppressLineNumbers w:val="0"/>
      </w:pPr>
      <w:r>
        <w:rPr>
          <w:rFonts w:ascii="Tinos" w:hAnsi="Tinos" w:eastAsia="Tinos" w:cs="Tinos"/>
          <w:i/>
          <w:iCs/>
          <w:sz w:val="28"/>
          <w:szCs w:val="28"/>
          <w:highlight w:val="none"/>
          <w14:ligatures w14:val="none"/>
        </w:rPr>
        <w:t xml:space="preserve">2023 год - 5 831</w:t>
      </w:r>
      <w:r>
        <w:rPr>
          <w:rFonts w:ascii="Tinos" w:hAnsi="Tinos" w:eastAsia="Tinos" w:cs="Tinos"/>
          <w:i/>
          <w:iCs/>
          <w:sz w:val="28"/>
          <w:szCs w:val="28"/>
          <w:highlight w:val="none"/>
          <w14:ligatures w14:val="none"/>
        </w:rPr>
        <w:t xml:space="preserve">.</w:t>
      </w:r>
      <w:r>
        <w:rPr>
          <w:rFonts w:ascii="Tinos" w:hAnsi="Tinos" w:cs="Tinos"/>
          <w:sz w:val="28"/>
          <w:szCs w:val="28"/>
          <w:highlight w:val="none"/>
          <w14:ligatures w14:val="none"/>
        </w:rPr>
      </w:r>
      <w:r>
        <w:rPr>
          <w:rFonts w:ascii="Tinos" w:hAnsi="Tinos" w:cs="Tinos"/>
          <w:sz w:val="28"/>
          <w:szCs w:val="28"/>
          <w:highlight w:val="none"/>
          <w14:ligatures w14:val="none"/>
        </w:rPr>
      </w:r>
    </w:p>
    <w:p>
      <w:pPr>
        <w:contextualSpacing w:val="0"/>
        <w:ind w:left="0" w:right="0" w:firstLine="0"/>
        <w:jc w:val="both"/>
        <w:spacing w:before="57" w:after="57" w:line="283" w:lineRule="atLeast"/>
        <w:shd w:val="nil" w:color="000000"/>
        <w:rPr>
          <w:rFonts w:ascii="Tinos" w:hAnsi="Tinos" w:cs="Tinos"/>
          <w:sz w:val="28"/>
          <w:szCs w:val="28"/>
          <w:highlight w:val="none"/>
          <w14:ligatures w14:val="none"/>
        </w:rPr>
        <w:suppressLineNumbers w:val="0"/>
      </w:pPr>
      <w:r>
        <w:rPr>
          <w:rFonts w:ascii="Tinos" w:hAnsi="Tinos" w:eastAsia="Tinos" w:cs="Tinos"/>
          <w:i/>
          <w:iCs/>
          <w:sz w:val="28"/>
          <w:szCs w:val="28"/>
          <w:highlight w:val="none"/>
        </w:rPr>
        <w:t xml:space="preserve">2024 год - 2 582</w:t>
      </w:r>
      <w:r>
        <w:rPr>
          <w:rFonts w:ascii="Tinos" w:hAnsi="Tinos" w:eastAsia="Tinos" w:cs="Tinos"/>
          <w:i/>
          <w:iCs/>
          <w:sz w:val="28"/>
          <w:szCs w:val="28"/>
          <w:highlight w:val="none"/>
          <w14:ligatures w14:val="none"/>
        </w:rPr>
        <w:t xml:space="preserve">.</w:t>
      </w:r>
      <w:r>
        <w:rPr>
          <w:rFonts w:ascii="Tinos" w:hAnsi="Tinos" w:cs="Tinos"/>
          <w:sz w:val="28"/>
          <w:szCs w:val="28"/>
          <w:highlight w:val="none"/>
          <w14:ligatures w14:val="none"/>
        </w:rPr>
      </w:r>
      <w:r>
        <w:rPr>
          <w:rFonts w:ascii="Tinos" w:hAnsi="Tinos" w:cs="Tinos"/>
          <w:sz w:val="28"/>
          <w:szCs w:val="28"/>
          <w:highlight w:val="none"/>
          <w14:ligatures w14:val="none"/>
        </w:rPr>
      </w:r>
    </w:p>
    <w:p>
      <w:pPr>
        <w:contextualSpacing w:val="0"/>
        <w:jc w:val="both"/>
        <w:spacing w:before="57" w:after="57" w:line="283" w:lineRule="atLeast"/>
        <w:shd w:val="nil" w:color="000000"/>
        <w:rPr>
          <w:rFonts w:ascii="Tinos" w:hAnsi="Tinos" w:cs="Tinos"/>
          <w:i/>
          <w:iCs/>
          <w:sz w:val="28"/>
          <w:szCs w:val="28"/>
          <w:highlight w:val="white"/>
          <w14:ligatures w14:val="none"/>
        </w:rPr>
        <w:suppressLineNumbers w:val="0"/>
      </w:pPr>
      <w:r>
        <w:rPr>
          <w:rFonts w:ascii="Tinos" w:hAnsi="Tinos" w:eastAsia="Tinos" w:cs="Tinos"/>
          <w:i/>
          <w:iCs/>
          <w:sz w:val="28"/>
          <w:szCs w:val="28"/>
          <w:highlight w:val="none"/>
        </w:rPr>
        <w:t xml:space="preserve">1 полугодие 2025 года – 1989. </w:t>
      </w:r>
      <w:r>
        <w:rPr>
          <w:rFonts w:ascii="Tinos" w:hAnsi="Tinos" w:cs="Tinos"/>
          <w:i/>
          <w:iCs/>
          <w:sz w:val="28"/>
          <w:szCs w:val="28"/>
          <w:highlight w:val="white"/>
          <w14:ligatures w14:val="none"/>
        </w:rPr>
      </w:r>
      <w:r>
        <w:rPr>
          <w:rFonts w:ascii="Tinos" w:hAnsi="Tinos" w:cs="Tinos"/>
          <w:i/>
          <w:iCs/>
          <w:sz w:val="28"/>
          <w:szCs w:val="28"/>
          <w:highlight w:val="white"/>
          <w14:ligatures w14:val="none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Calibri">
    <w:panose1 w:val="020F0502020204030204"/>
  </w:font>
  <w:font w:name="Consolas">
    <w:panose1 w:val="020B0606020202030204"/>
  </w:font>
  <w:font w:name="Times New Roman">
    <w:panose1 w:val="02020603050405020304"/>
  </w:font>
  <w:font w:name="Segoe UI">
    <w:panose1 w:val="020B050204050402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85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Пресс-центр Управления </w:t>
    </w:r>
    <w:r>
      <w:rPr>
        <w:rFonts w:ascii="Segoe UI" w:hAnsi="Segoe UI" w:cs="Segoe UI"/>
        <w:color w:val="0070b9"/>
        <w:sz w:val="16"/>
        <w:szCs w:val="16"/>
      </w:rPr>
      <w:t xml:space="preserve">Росреестра</w:t>
    </w:r>
    <w:r>
      <w:rPr>
        <w:rFonts w:ascii="Segoe UI" w:hAnsi="Segoe UI" w:cs="Segoe UI"/>
        <w:color w:val="0070b9"/>
        <w:sz w:val="16"/>
        <w:szCs w:val="16"/>
      </w:rPr>
      <w:t xml:space="preserve"> по Забайкальскому краю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85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 xml:space="preserve">Жамбалнимбуев Баир Батомункуевич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85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Тел.: (3022) 3</w:t>
    </w:r>
    <w:r>
      <w:rPr>
        <w:rFonts w:ascii="Segoe UI" w:hAnsi="Segoe UI" w:cs="Segoe UI"/>
        <w:color w:val="0070b9"/>
        <w:sz w:val="16"/>
        <w:szCs w:val="16"/>
      </w:rPr>
      <w:t xml:space="preserve">5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74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28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85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</w:rPr>
      <w:t xml:space="preserve">Моб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.: +7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924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384-06-61</w:t>
    </w:r>
    <w:r>
      <w:rPr>
        <w:rFonts w:ascii="Segoe UI" w:hAnsi="Segoe UI" w:cs="Segoe UI"/>
        <w:color w:val="0070b9"/>
        <w:sz w:val="16"/>
        <w:szCs w:val="16"/>
        <w:lang w:val="en-US"/>
      </w:rPr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985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hyperlink r:id="rId1" w:tooltip="mailto:Jambalnimbuevbb@r75.rosreestr.ru" w:history="1">
      <w:r>
        <w:rPr>
          <w:rStyle w:val="976"/>
          <w:rFonts w:ascii="Segoe UI" w:hAnsi="Segoe UI" w:cs="Segoe UI"/>
          <w:sz w:val="16"/>
          <w:szCs w:val="16"/>
          <w:lang w:val="en-US"/>
        </w:rPr>
        <w:t xml:space="preserve">Jambalnimbuevbb@r75.rosreestr.ru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2" w:tooltip="mailto:Arbalet1977@yandex.ru" w:history="1">
      <w:r>
        <w:rPr>
          <w:rStyle w:val="976"/>
          <w:rFonts w:ascii="Segoe UI" w:hAnsi="Segoe UI" w:cs="Segoe UI"/>
          <w:sz w:val="16"/>
          <w:szCs w:val="16"/>
          <w:lang w:val="en-US"/>
        </w:rPr>
        <w:t xml:space="preserve">Arbalet1977@yandex.ru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  <w:r>
      <w:rPr>
        <w:rFonts w:ascii="Segoe UI" w:hAnsi="Segoe UI" w:cs="Segoe UI"/>
        <w:color w:val="0070b9"/>
        <w:sz w:val="16"/>
        <w:szCs w:val="16"/>
        <w:lang w:val="en-US"/>
      </w:rPr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985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  <w:p>
    <w:pPr>
      <w:pStyle w:val="985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85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85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83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83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83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95">
    <w:name w:val="Heading 1 Char"/>
    <w:basedOn w:val="968"/>
    <w:link w:val="967"/>
    <w:uiPriority w:val="9"/>
    <w:rPr>
      <w:rFonts w:ascii="Arial" w:hAnsi="Arial" w:eastAsia="Arial" w:cs="Arial"/>
      <w:sz w:val="40"/>
      <w:szCs w:val="40"/>
    </w:rPr>
  </w:style>
  <w:style w:type="paragraph" w:styleId="796">
    <w:name w:val="Heading 2"/>
    <w:basedOn w:val="966"/>
    <w:next w:val="966"/>
    <w:link w:val="79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97">
    <w:name w:val="Heading 2 Char"/>
    <w:basedOn w:val="968"/>
    <w:link w:val="796"/>
    <w:uiPriority w:val="9"/>
    <w:rPr>
      <w:rFonts w:ascii="Arial" w:hAnsi="Arial" w:eastAsia="Arial" w:cs="Arial"/>
      <w:sz w:val="34"/>
    </w:rPr>
  </w:style>
  <w:style w:type="paragraph" w:styleId="798">
    <w:name w:val="Heading 3"/>
    <w:basedOn w:val="966"/>
    <w:next w:val="966"/>
    <w:link w:val="79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99">
    <w:name w:val="Heading 3 Char"/>
    <w:basedOn w:val="968"/>
    <w:link w:val="798"/>
    <w:uiPriority w:val="9"/>
    <w:rPr>
      <w:rFonts w:ascii="Arial" w:hAnsi="Arial" w:eastAsia="Arial" w:cs="Arial"/>
      <w:sz w:val="30"/>
      <w:szCs w:val="30"/>
    </w:rPr>
  </w:style>
  <w:style w:type="paragraph" w:styleId="800">
    <w:name w:val="Heading 4"/>
    <w:basedOn w:val="966"/>
    <w:next w:val="966"/>
    <w:link w:val="80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801">
    <w:name w:val="Heading 4 Char"/>
    <w:basedOn w:val="968"/>
    <w:link w:val="800"/>
    <w:uiPriority w:val="9"/>
    <w:rPr>
      <w:rFonts w:ascii="Arial" w:hAnsi="Arial" w:eastAsia="Arial" w:cs="Arial"/>
      <w:b/>
      <w:bCs/>
      <w:sz w:val="26"/>
      <w:szCs w:val="26"/>
    </w:rPr>
  </w:style>
  <w:style w:type="paragraph" w:styleId="802">
    <w:name w:val="Heading 5"/>
    <w:basedOn w:val="966"/>
    <w:next w:val="966"/>
    <w:link w:val="80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803">
    <w:name w:val="Heading 5 Char"/>
    <w:basedOn w:val="968"/>
    <w:link w:val="802"/>
    <w:uiPriority w:val="9"/>
    <w:rPr>
      <w:rFonts w:ascii="Arial" w:hAnsi="Arial" w:eastAsia="Arial" w:cs="Arial"/>
      <w:b/>
      <w:bCs/>
      <w:sz w:val="24"/>
      <w:szCs w:val="24"/>
    </w:rPr>
  </w:style>
  <w:style w:type="paragraph" w:styleId="804">
    <w:name w:val="Heading 6"/>
    <w:basedOn w:val="966"/>
    <w:next w:val="966"/>
    <w:link w:val="80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805">
    <w:name w:val="Heading 6 Char"/>
    <w:basedOn w:val="968"/>
    <w:link w:val="804"/>
    <w:uiPriority w:val="9"/>
    <w:rPr>
      <w:rFonts w:ascii="Arial" w:hAnsi="Arial" w:eastAsia="Arial" w:cs="Arial"/>
      <w:b/>
      <w:bCs/>
      <w:sz w:val="22"/>
      <w:szCs w:val="22"/>
    </w:rPr>
  </w:style>
  <w:style w:type="paragraph" w:styleId="806">
    <w:name w:val="Heading 7"/>
    <w:basedOn w:val="966"/>
    <w:next w:val="966"/>
    <w:link w:val="80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807">
    <w:name w:val="Heading 7 Char"/>
    <w:basedOn w:val="968"/>
    <w:link w:val="80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808">
    <w:name w:val="Heading 8"/>
    <w:basedOn w:val="966"/>
    <w:next w:val="966"/>
    <w:link w:val="80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809">
    <w:name w:val="Heading 8 Char"/>
    <w:basedOn w:val="968"/>
    <w:link w:val="808"/>
    <w:uiPriority w:val="9"/>
    <w:rPr>
      <w:rFonts w:ascii="Arial" w:hAnsi="Arial" w:eastAsia="Arial" w:cs="Arial"/>
      <w:i/>
      <w:iCs/>
      <w:sz w:val="22"/>
      <w:szCs w:val="22"/>
    </w:rPr>
  </w:style>
  <w:style w:type="paragraph" w:styleId="810">
    <w:name w:val="Heading 9"/>
    <w:basedOn w:val="966"/>
    <w:next w:val="966"/>
    <w:link w:val="81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11">
    <w:name w:val="Heading 9 Char"/>
    <w:basedOn w:val="968"/>
    <w:link w:val="810"/>
    <w:uiPriority w:val="9"/>
    <w:rPr>
      <w:rFonts w:ascii="Arial" w:hAnsi="Arial" w:eastAsia="Arial" w:cs="Arial"/>
      <w:i/>
      <w:iCs/>
      <w:sz w:val="21"/>
      <w:szCs w:val="21"/>
    </w:rPr>
  </w:style>
  <w:style w:type="paragraph" w:styleId="812">
    <w:name w:val="Title"/>
    <w:basedOn w:val="966"/>
    <w:next w:val="966"/>
    <w:link w:val="81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13">
    <w:name w:val="Title Char"/>
    <w:basedOn w:val="968"/>
    <w:link w:val="812"/>
    <w:uiPriority w:val="10"/>
    <w:rPr>
      <w:sz w:val="48"/>
      <w:szCs w:val="48"/>
    </w:rPr>
  </w:style>
  <w:style w:type="paragraph" w:styleId="814">
    <w:name w:val="Subtitle"/>
    <w:basedOn w:val="966"/>
    <w:next w:val="966"/>
    <w:link w:val="815"/>
    <w:uiPriority w:val="11"/>
    <w:qFormat/>
    <w:pPr>
      <w:spacing w:before="200" w:after="200"/>
    </w:pPr>
    <w:rPr>
      <w:sz w:val="24"/>
      <w:szCs w:val="24"/>
    </w:rPr>
  </w:style>
  <w:style w:type="character" w:styleId="815">
    <w:name w:val="Subtitle Char"/>
    <w:basedOn w:val="968"/>
    <w:link w:val="814"/>
    <w:uiPriority w:val="11"/>
    <w:rPr>
      <w:sz w:val="24"/>
      <w:szCs w:val="24"/>
    </w:rPr>
  </w:style>
  <w:style w:type="paragraph" w:styleId="816">
    <w:name w:val="Quote"/>
    <w:basedOn w:val="966"/>
    <w:next w:val="966"/>
    <w:link w:val="817"/>
    <w:uiPriority w:val="29"/>
    <w:qFormat/>
    <w:pPr>
      <w:ind w:left="720" w:right="720"/>
    </w:pPr>
    <w:rPr>
      <w:i/>
    </w:rPr>
  </w:style>
  <w:style w:type="character" w:styleId="817">
    <w:name w:val="Quote Char"/>
    <w:link w:val="816"/>
    <w:uiPriority w:val="29"/>
    <w:rPr>
      <w:i/>
    </w:rPr>
  </w:style>
  <w:style w:type="paragraph" w:styleId="818">
    <w:name w:val="Intense Quote"/>
    <w:basedOn w:val="966"/>
    <w:next w:val="966"/>
    <w:link w:val="81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19">
    <w:name w:val="Intense Quote Char"/>
    <w:link w:val="818"/>
    <w:uiPriority w:val="30"/>
    <w:rPr>
      <w:i/>
    </w:rPr>
  </w:style>
  <w:style w:type="character" w:styleId="820">
    <w:name w:val="Header Char"/>
    <w:basedOn w:val="968"/>
    <w:link w:val="983"/>
    <w:uiPriority w:val="99"/>
  </w:style>
  <w:style w:type="character" w:styleId="821">
    <w:name w:val="Footer Char"/>
    <w:basedOn w:val="968"/>
    <w:link w:val="985"/>
    <w:uiPriority w:val="99"/>
  </w:style>
  <w:style w:type="paragraph" w:styleId="822">
    <w:name w:val="Caption"/>
    <w:basedOn w:val="966"/>
    <w:next w:val="96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23">
    <w:name w:val="Caption Char"/>
    <w:basedOn w:val="822"/>
    <w:link w:val="985"/>
    <w:uiPriority w:val="99"/>
  </w:style>
  <w:style w:type="table" w:styleId="824">
    <w:name w:val="Table Grid Light"/>
    <w:basedOn w:val="96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5">
    <w:name w:val="Plain Table 1"/>
    <w:basedOn w:val="96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26">
    <w:name w:val="Plain Table 2"/>
    <w:basedOn w:val="96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27">
    <w:name w:val="Plain Table 3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28">
    <w:name w:val="Plain Table 4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Plain Table 5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30">
    <w:name w:val="Grid Table 1 Light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Grid Table 1 Light - Accent 1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Grid Table 1 Light - Accent 2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Grid Table 1 Light - Accent 3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Grid Table 1 Light - Accent 4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Grid Table 1 Light - Accent 5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Grid Table 1 Light - Accent 6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Grid Table 2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Grid Table 2 - Accent 1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Grid Table 2 - Accent 2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Grid Table 2 - Accent 3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Grid Table 2 - Accent 4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Grid Table 2 - Accent 5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Grid Table 2 - Accent 6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Grid Table 3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Grid Table 3 - Accent 1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Grid Table 3 - Accent 2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Grid Table 3 - Accent 3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Grid Table 3 - Accent 4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Grid Table 3 - Accent 5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Grid Table 3 - Accent 6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Grid Table 4"/>
    <w:basedOn w:val="9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52">
    <w:name w:val="Grid Table 4 - Accent 1"/>
    <w:basedOn w:val="9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53">
    <w:name w:val="Grid Table 4 - Accent 2"/>
    <w:basedOn w:val="9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54">
    <w:name w:val="Grid Table 4 - Accent 3"/>
    <w:basedOn w:val="9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55">
    <w:name w:val="Grid Table 4 - Accent 4"/>
    <w:basedOn w:val="9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56">
    <w:name w:val="Grid Table 4 - Accent 5"/>
    <w:basedOn w:val="9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57">
    <w:name w:val="Grid Table 4 - Accent 6"/>
    <w:basedOn w:val="9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58">
    <w:name w:val="Grid Table 5 Dark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59">
    <w:name w:val="Grid Table 5 Dark- Accent 1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60">
    <w:name w:val="Grid Table 5 Dark - Accent 2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1">
    <w:name w:val="Grid Table 5 Dark - Accent 3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62">
    <w:name w:val="Grid Table 5 Dark- Accent 4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63">
    <w:name w:val="Grid Table 5 Dark - Accent 5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64">
    <w:name w:val="Grid Table 5 Dark - Accent 6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65">
    <w:name w:val="Grid Table 6 Colorful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66">
    <w:name w:val="Grid Table 6 Colorful - Accent 1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67">
    <w:name w:val="Grid Table 6 Colorful - Accent 2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68">
    <w:name w:val="Grid Table 6 Colorful - Accent 3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69">
    <w:name w:val="Grid Table 6 Colorful - Accent 4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70">
    <w:name w:val="Grid Table 6 Colorful - Accent 5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71">
    <w:name w:val="Grid Table 6 Colorful - Accent 6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72">
    <w:name w:val="Grid Table 7 Colorful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>
    <w:name w:val="Grid Table 7 Colorful - Accent 1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>
    <w:name w:val="Grid Table 7 Colorful - Accent 2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5">
    <w:name w:val="Grid Table 7 Colorful - Accent 3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6">
    <w:name w:val="Grid Table 7 Colorful - Accent 4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7">
    <w:name w:val="Grid Table 7 Colorful - Accent 5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8">
    <w:name w:val="Grid Table 7 Colorful - Accent 6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9">
    <w:name w:val="List Table 1 Light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0">
    <w:name w:val="List Table 1 Light - Accent 1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1">
    <w:name w:val="List Table 1 Light - Accent 2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2">
    <w:name w:val="List Table 1 Light - Accent 3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3">
    <w:name w:val="List Table 1 Light - Accent 4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4">
    <w:name w:val="List Table 1 Light - Accent 5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5">
    <w:name w:val="List Table 1 Light - Accent 6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6">
    <w:name w:val="List Table 2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87">
    <w:name w:val="List Table 2 - Accent 1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88">
    <w:name w:val="List Table 2 - Accent 2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89">
    <w:name w:val="List Table 2 - Accent 3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90">
    <w:name w:val="List Table 2 - Accent 4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91">
    <w:name w:val="List Table 2 - Accent 5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92">
    <w:name w:val="List Table 2 - Accent 6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93">
    <w:name w:val="List Table 3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4">
    <w:name w:val="List Table 3 - Accent 1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5">
    <w:name w:val="List Table 3 - Accent 2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6">
    <w:name w:val="List Table 3 - Accent 3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7">
    <w:name w:val="List Table 3 - Accent 4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8">
    <w:name w:val="List Table 3 - Accent 5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9">
    <w:name w:val="List Table 3 - Accent 6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0">
    <w:name w:val="List Table 4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1">
    <w:name w:val="List Table 4 - Accent 1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2">
    <w:name w:val="List Table 4 - Accent 2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3">
    <w:name w:val="List Table 4 - Accent 3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4">
    <w:name w:val="List Table 4 - Accent 4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5">
    <w:name w:val="List Table 4 - Accent 5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6">
    <w:name w:val="List Table 4 - Accent 6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7">
    <w:name w:val="List Table 5 Dark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8">
    <w:name w:val="List Table 5 Dark - Accent 1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9">
    <w:name w:val="List Table 5 Dark - Accent 2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0">
    <w:name w:val="List Table 5 Dark - Accent 3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1">
    <w:name w:val="List Table 5 Dark - Accent 4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2">
    <w:name w:val="List Table 5 Dark - Accent 5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3">
    <w:name w:val="List Table 5 Dark - Accent 6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4">
    <w:name w:val="List Table 6 Colorful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15">
    <w:name w:val="List Table 6 Colorful - Accent 1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16">
    <w:name w:val="List Table 6 Colorful - Accent 2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17">
    <w:name w:val="List Table 6 Colorful - Accent 3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18">
    <w:name w:val="List Table 6 Colorful - Accent 4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19">
    <w:name w:val="List Table 6 Colorful - Accent 5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20">
    <w:name w:val="List Table 6 Colorful - Accent 6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21">
    <w:name w:val="List Table 7 Colorful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22">
    <w:name w:val="List Table 7 Colorful - Accent 1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923">
    <w:name w:val="List Table 7 Colorful - Accent 2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924">
    <w:name w:val="List Table 7 Colorful - Accent 3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925">
    <w:name w:val="List Table 7 Colorful - Accent 4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926">
    <w:name w:val="List Table 7 Colorful - Accent 5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927">
    <w:name w:val="List Table 7 Colorful - Accent 6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928">
    <w:name w:val="Lined - Accent"/>
    <w:basedOn w:val="9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29">
    <w:name w:val="Lined - Accent 1"/>
    <w:basedOn w:val="9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30">
    <w:name w:val="Lined - Accent 2"/>
    <w:basedOn w:val="9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31">
    <w:name w:val="Lined - Accent 3"/>
    <w:basedOn w:val="9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32">
    <w:name w:val="Lined - Accent 4"/>
    <w:basedOn w:val="9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33">
    <w:name w:val="Lined - Accent 5"/>
    <w:basedOn w:val="9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34">
    <w:name w:val="Lined - Accent 6"/>
    <w:basedOn w:val="9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35">
    <w:name w:val="Bordered &amp; Lined - Accent"/>
    <w:basedOn w:val="9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36">
    <w:name w:val="Bordered &amp; Lined - Accent 1"/>
    <w:basedOn w:val="9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37">
    <w:name w:val="Bordered &amp; Lined - Accent 2"/>
    <w:basedOn w:val="9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38">
    <w:name w:val="Bordered &amp; Lined - Accent 3"/>
    <w:basedOn w:val="9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39">
    <w:name w:val="Bordered &amp; Lined - Accent 4"/>
    <w:basedOn w:val="9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40">
    <w:name w:val="Bordered &amp; Lined - Accent 5"/>
    <w:basedOn w:val="9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41">
    <w:name w:val="Bordered &amp; Lined - Accent 6"/>
    <w:basedOn w:val="9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42">
    <w:name w:val="Bordered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43">
    <w:name w:val="Bordered - Accent 1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44">
    <w:name w:val="Bordered - Accent 2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45">
    <w:name w:val="Bordered - Accent 3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46">
    <w:name w:val="Bordered - Accent 4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47">
    <w:name w:val="Bordered - Accent 5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48">
    <w:name w:val="Bordered - Accent 6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49">
    <w:name w:val="footnote text"/>
    <w:basedOn w:val="966"/>
    <w:link w:val="950"/>
    <w:uiPriority w:val="99"/>
    <w:semiHidden/>
    <w:unhideWhenUsed/>
    <w:pPr>
      <w:spacing w:after="40" w:line="240" w:lineRule="auto"/>
    </w:pPr>
    <w:rPr>
      <w:sz w:val="18"/>
    </w:rPr>
  </w:style>
  <w:style w:type="character" w:styleId="950">
    <w:name w:val="Footnote Text Char"/>
    <w:link w:val="949"/>
    <w:uiPriority w:val="99"/>
    <w:rPr>
      <w:sz w:val="18"/>
    </w:rPr>
  </w:style>
  <w:style w:type="character" w:styleId="951">
    <w:name w:val="footnote reference"/>
    <w:basedOn w:val="968"/>
    <w:uiPriority w:val="99"/>
    <w:unhideWhenUsed/>
    <w:rPr>
      <w:vertAlign w:val="superscript"/>
    </w:rPr>
  </w:style>
  <w:style w:type="paragraph" w:styleId="952">
    <w:name w:val="endnote text"/>
    <w:basedOn w:val="966"/>
    <w:link w:val="953"/>
    <w:uiPriority w:val="99"/>
    <w:semiHidden/>
    <w:unhideWhenUsed/>
    <w:pPr>
      <w:spacing w:after="0" w:line="240" w:lineRule="auto"/>
    </w:pPr>
    <w:rPr>
      <w:sz w:val="20"/>
    </w:rPr>
  </w:style>
  <w:style w:type="character" w:styleId="953">
    <w:name w:val="Endnote Text Char"/>
    <w:link w:val="952"/>
    <w:uiPriority w:val="99"/>
    <w:rPr>
      <w:sz w:val="20"/>
    </w:rPr>
  </w:style>
  <w:style w:type="character" w:styleId="954">
    <w:name w:val="endnote reference"/>
    <w:basedOn w:val="968"/>
    <w:uiPriority w:val="99"/>
    <w:semiHidden/>
    <w:unhideWhenUsed/>
    <w:rPr>
      <w:vertAlign w:val="superscript"/>
    </w:rPr>
  </w:style>
  <w:style w:type="paragraph" w:styleId="955">
    <w:name w:val="toc 1"/>
    <w:basedOn w:val="966"/>
    <w:next w:val="966"/>
    <w:uiPriority w:val="39"/>
    <w:unhideWhenUsed/>
    <w:pPr>
      <w:ind w:left="0" w:right="0" w:firstLine="0"/>
      <w:spacing w:after="57"/>
    </w:pPr>
  </w:style>
  <w:style w:type="paragraph" w:styleId="956">
    <w:name w:val="toc 2"/>
    <w:basedOn w:val="966"/>
    <w:next w:val="966"/>
    <w:uiPriority w:val="39"/>
    <w:unhideWhenUsed/>
    <w:pPr>
      <w:ind w:left="283" w:right="0" w:firstLine="0"/>
      <w:spacing w:after="57"/>
    </w:pPr>
  </w:style>
  <w:style w:type="paragraph" w:styleId="957">
    <w:name w:val="toc 3"/>
    <w:basedOn w:val="966"/>
    <w:next w:val="966"/>
    <w:uiPriority w:val="39"/>
    <w:unhideWhenUsed/>
    <w:pPr>
      <w:ind w:left="567" w:right="0" w:firstLine="0"/>
      <w:spacing w:after="57"/>
    </w:pPr>
  </w:style>
  <w:style w:type="paragraph" w:styleId="958">
    <w:name w:val="toc 4"/>
    <w:basedOn w:val="966"/>
    <w:next w:val="966"/>
    <w:uiPriority w:val="39"/>
    <w:unhideWhenUsed/>
    <w:pPr>
      <w:ind w:left="850" w:right="0" w:firstLine="0"/>
      <w:spacing w:after="57"/>
    </w:pPr>
  </w:style>
  <w:style w:type="paragraph" w:styleId="959">
    <w:name w:val="toc 5"/>
    <w:basedOn w:val="966"/>
    <w:next w:val="966"/>
    <w:uiPriority w:val="39"/>
    <w:unhideWhenUsed/>
    <w:pPr>
      <w:ind w:left="1134" w:right="0" w:firstLine="0"/>
      <w:spacing w:after="57"/>
    </w:pPr>
  </w:style>
  <w:style w:type="paragraph" w:styleId="960">
    <w:name w:val="toc 6"/>
    <w:basedOn w:val="966"/>
    <w:next w:val="966"/>
    <w:uiPriority w:val="39"/>
    <w:unhideWhenUsed/>
    <w:pPr>
      <w:ind w:left="1417" w:right="0" w:firstLine="0"/>
      <w:spacing w:after="57"/>
    </w:pPr>
  </w:style>
  <w:style w:type="paragraph" w:styleId="961">
    <w:name w:val="toc 7"/>
    <w:basedOn w:val="966"/>
    <w:next w:val="966"/>
    <w:uiPriority w:val="39"/>
    <w:unhideWhenUsed/>
    <w:pPr>
      <w:ind w:left="1701" w:right="0" w:firstLine="0"/>
      <w:spacing w:after="57"/>
    </w:pPr>
  </w:style>
  <w:style w:type="paragraph" w:styleId="962">
    <w:name w:val="toc 8"/>
    <w:basedOn w:val="966"/>
    <w:next w:val="966"/>
    <w:uiPriority w:val="39"/>
    <w:unhideWhenUsed/>
    <w:pPr>
      <w:ind w:left="1984" w:right="0" w:firstLine="0"/>
      <w:spacing w:after="57"/>
    </w:pPr>
  </w:style>
  <w:style w:type="paragraph" w:styleId="963">
    <w:name w:val="toc 9"/>
    <w:basedOn w:val="966"/>
    <w:next w:val="966"/>
    <w:uiPriority w:val="39"/>
    <w:unhideWhenUsed/>
    <w:pPr>
      <w:ind w:left="2268" w:right="0" w:firstLine="0"/>
      <w:spacing w:after="57"/>
    </w:pPr>
  </w:style>
  <w:style w:type="paragraph" w:styleId="964">
    <w:name w:val="TOC Heading"/>
    <w:uiPriority w:val="39"/>
    <w:unhideWhenUsed/>
  </w:style>
  <w:style w:type="paragraph" w:styleId="965">
    <w:name w:val="table of figures"/>
    <w:basedOn w:val="966"/>
    <w:next w:val="966"/>
    <w:uiPriority w:val="99"/>
    <w:unhideWhenUsed/>
    <w:pPr>
      <w:spacing w:after="0" w:afterAutospacing="0"/>
    </w:pPr>
  </w:style>
  <w:style w:type="paragraph" w:styleId="966" w:default="1">
    <w:name w:val="Normal"/>
    <w:qFormat/>
    <w:pPr>
      <w:spacing w:after="200" w:line="276" w:lineRule="auto"/>
    </w:pPr>
  </w:style>
  <w:style w:type="paragraph" w:styleId="967">
    <w:name w:val="Heading 1"/>
    <w:basedOn w:val="966"/>
    <w:next w:val="966"/>
    <w:link w:val="974"/>
    <w:uiPriority w:val="9"/>
    <w:qFormat/>
    <w:pPr>
      <w:keepLines/>
      <w:keepNext/>
      <w:spacing w:before="240" w:after="0" w:line="259" w:lineRule="auto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968" w:default="1">
    <w:name w:val="Default Paragraph Font"/>
    <w:uiPriority w:val="1"/>
    <w:semiHidden/>
    <w:unhideWhenUsed/>
  </w:style>
  <w:style w:type="table" w:styleId="96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70" w:default="1">
    <w:name w:val="No List"/>
    <w:uiPriority w:val="99"/>
    <w:semiHidden/>
    <w:unhideWhenUsed/>
  </w:style>
  <w:style w:type="paragraph" w:styleId="971">
    <w:name w:val="Balloon Text"/>
    <w:basedOn w:val="966"/>
    <w:link w:val="972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972" w:customStyle="1">
    <w:name w:val="Текст выноски Знак"/>
    <w:basedOn w:val="968"/>
    <w:link w:val="971"/>
    <w:uiPriority w:val="99"/>
    <w:semiHidden/>
    <w:rPr>
      <w:rFonts w:ascii="Segoe UI" w:hAnsi="Segoe UI" w:cs="Segoe UI"/>
      <w:sz w:val="18"/>
      <w:szCs w:val="18"/>
    </w:rPr>
  </w:style>
  <w:style w:type="paragraph" w:styleId="973">
    <w:name w:val="No Spacing"/>
    <w:uiPriority w:val="1"/>
    <w:qFormat/>
    <w:pPr>
      <w:spacing w:after="0" w:line="240" w:lineRule="auto"/>
    </w:pPr>
  </w:style>
  <w:style w:type="character" w:styleId="974" w:customStyle="1">
    <w:name w:val="Заголовок 1 Знак"/>
    <w:basedOn w:val="968"/>
    <w:link w:val="967"/>
    <w:uiPriority w:val="9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975">
    <w:name w:val="List Paragraph"/>
    <w:basedOn w:val="966"/>
    <w:uiPriority w:val="34"/>
    <w:qFormat/>
    <w:pPr>
      <w:contextualSpacing/>
      <w:ind w:left="720"/>
      <w:spacing w:after="160" w:line="256" w:lineRule="auto"/>
    </w:pPr>
  </w:style>
  <w:style w:type="character" w:styleId="976">
    <w:name w:val="Hyperlink"/>
    <w:basedOn w:val="968"/>
    <w:uiPriority w:val="99"/>
    <w:unhideWhenUsed/>
    <w:rPr>
      <w:color w:val="0563c1" w:themeColor="hyperlink"/>
      <w:u w:val="single"/>
    </w:rPr>
  </w:style>
  <w:style w:type="character" w:styleId="977">
    <w:name w:val="annotation reference"/>
    <w:basedOn w:val="968"/>
    <w:uiPriority w:val="99"/>
    <w:semiHidden/>
    <w:unhideWhenUsed/>
    <w:rPr>
      <w:sz w:val="16"/>
      <w:szCs w:val="16"/>
    </w:rPr>
  </w:style>
  <w:style w:type="paragraph" w:styleId="978">
    <w:name w:val="annotation text"/>
    <w:basedOn w:val="966"/>
    <w:link w:val="979"/>
    <w:uiPriority w:val="99"/>
    <w:semiHidden/>
    <w:unhideWhenUsed/>
    <w:pPr>
      <w:spacing w:after="160" w:line="240" w:lineRule="auto"/>
    </w:pPr>
    <w:rPr>
      <w:sz w:val="20"/>
      <w:szCs w:val="20"/>
    </w:rPr>
  </w:style>
  <w:style w:type="character" w:styleId="979" w:customStyle="1">
    <w:name w:val="Текст примечания Знак"/>
    <w:basedOn w:val="968"/>
    <w:link w:val="978"/>
    <w:uiPriority w:val="99"/>
    <w:semiHidden/>
    <w:rPr>
      <w:sz w:val="20"/>
      <w:szCs w:val="20"/>
    </w:rPr>
  </w:style>
  <w:style w:type="paragraph" w:styleId="980">
    <w:name w:val="annotation subject"/>
    <w:basedOn w:val="978"/>
    <w:next w:val="978"/>
    <w:link w:val="981"/>
    <w:uiPriority w:val="99"/>
    <w:semiHidden/>
    <w:unhideWhenUsed/>
    <w:rPr>
      <w:b/>
      <w:bCs/>
    </w:rPr>
  </w:style>
  <w:style w:type="character" w:styleId="981" w:customStyle="1">
    <w:name w:val="Тема примечания Знак"/>
    <w:basedOn w:val="979"/>
    <w:link w:val="980"/>
    <w:uiPriority w:val="99"/>
    <w:semiHidden/>
    <w:rPr>
      <w:b/>
      <w:bCs/>
      <w:sz w:val="20"/>
      <w:szCs w:val="20"/>
    </w:rPr>
  </w:style>
  <w:style w:type="character" w:styleId="982">
    <w:name w:val="Strong"/>
    <w:basedOn w:val="968"/>
    <w:uiPriority w:val="22"/>
    <w:qFormat/>
    <w:rPr>
      <w:b/>
      <w:bCs/>
    </w:rPr>
  </w:style>
  <w:style w:type="paragraph" w:styleId="983">
    <w:name w:val="Header"/>
    <w:basedOn w:val="966"/>
    <w:link w:val="98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84" w:customStyle="1">
    <w:name w:val="Верхний колонтитул Знак"/>
    <w:basedOn w:val="968"/>
    <w:link w:val="983"/>
    <w:uiPriority w:val="99"/>
  </w:style>
  <w:style w:type="paragraph" w:styleId="985">
    <w:name w:val="Footer"/>
    <w:basedOn w:val="966"/>
    <w:link w:val="98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86" w:customStyle="1">
    <w:name w:val="Нижний колонтитул Знак"/>
    <w:basedOn w:val="968"/>
    <w:link w:val="985"/>
    <w:uiPriority w:val="99"/>
  </w:style>
  <w:style w:type="paragraph" w:styleId="987">
    <w:name w:val="Normal (Web)"/>
    <w:basedOn w:val="966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88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989" w:customStyle="1">
    <w:name w:val="rtejustify"/>
    <w:basedOn w:val="966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90">
    <w:name w:val="Plain Text"/>
    <w:basedOn w:val="966"/>
    <w:link w:val="991"/>
    <w:uiPriority w:val="99"/>
    <w:unhideWhenUsed/>
    <w:pPr>
      <w:spacing w:after="0" w:line="240" w:lineRule="auto"/>
    </w:pPr>
    <w:rPr>
      <w:rFonts w:ascii="Consolas" w:hAnsi="Consolas" w:eastAsia="Calibri" w:cs="Times New Roman"/>
      <w:sz w:val="21"/>
      <w:szCs w:val="21"/>
    </w:rPr>
  </w:style>
  <w:style w:type="character" w:styleId="991" w:customStyle="1">
    <w:name w:val="Текст Знак"/>
    <w:basedOn w:val="968"/>
    <w:link w:val="990"/>
    <w:uiPriority w:val="99"/>
    <w:rPr>
      <w:rFonts w:ascii="Consolas" w:hAnsi="Consolas" w:eastAsia="Calibri" w:cs="Times New Roman"/>
      <w:sz w:val="21"/>
      <w:szCs w:val="21"/>
    </w:rPr>
  </w:style>
  <w:style w:type="character" w:styleId="992" w:customStyle="1">
    <w:name w:val="_8pl3r"/>
  </w:style>
  <w:style w:type="table" w:styleId="993">
    <w:name w:val="Table Grid"/>
    <w:basedOn w:val="969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mailto:Jambalnimbuevbb@r75.rosreestr.ru" TargetMode="External"/><Relationship Id="rId2" Type="http://schemas.openxmlformats.org/officeDocument/2006/relationships/hyperlink" Target="mailto:Arbalet1977@yandex.ru" TargetMode="External"/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revision>111</cp:revision>
  <dcterms:created xsi:type="dcterms:W3CDTF">2022-05-27T10:42:00Z</dcterms:created>
  <dcterms:modified xsi:type="dcterms:W3CDTF">2025-06-24T01:55:58Z</dcterms:modified>
</cp:coreProperties>
</file>