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5A" w:rsidRPr="008B3591" w:rsidRDefault="00D7205A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B3591" w:rsidRDefault="00D7205A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 проекта решения Совета Приаргунского муниципального округа «О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 бюджете Приаргунского муниципального округа на 202</w:t>
      </w:r>
      <w:r w:rsidR="009C73DA">
        <w:rPr>
          <w:rFonts w:ascii="Times New Roman" w:hAnsi="Times New Roman" w:cs="Times New Roman"/>
          <w:b/>
          <w:sz w:val="28"/>
          <w:szCs w:val="28"/>
        </w:rPr>
        <w:t>4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7205A" w:rsidRDefault="0011196D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9C73DA">
        <w:rPr>
          <w:rFonts w:ascii="Times New Roman" w:hAnsi="Times New Roman" w:cs="Times New Roman"/>
          <w:b/>
          <w:sz w:val="28"/>
          <w:szCs w:val="28"/>
        </w:rPr>
        <w:t>5</w:t>
      </w:r>
      <w:r w:rsidRPr="008B3591">
        <w:rPr>
          <w:rFonts w:ascii="Times New Roman" w:hAnsi="Times New Roman" w:cs="Times New Roman"/>
          <w:b/>
          <w:sz w:val="28"/>
          <w:szCs w:val="28"/>
        </w:rPr>
        <w:t>-202</w:t>
      </w:r>
      <w:r w:rsidR="009C73DA">
        <w:rPr>
          <w:rFonts w:ascii="Times New Roman" w:hAnsi="Times New Roman" w:cs="Times New Roman"/>
          <w:b/>
          <w:sz w:val="28"/>
          <w:szCs w:val="28"/>
        </w:rPr>
        <w:t>6</w:t>
      </w:r>
      <w:r w:rsidRPr="008B3591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8B3591" w:rsidRPr="008B3591" w:rsidRDefault="008B3591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1196D">
        <w:rPr>
          <w:rFonts w:ascii="Times New Roman" w:hAnsi="Times New Roman" w:cs="Times New Roman"/>
          <w:sz w:val="28"/>
          <w:szCs w:val="28"/>
        </w:rPr>
        <w:t>1</w:t>
      </w:r>
      <w:r w:rsidR="003B750B">
        <w:rPr>
          <w:rFonts w:ascii="Times New Roman" w:hAnsi="Times New Roman" w:cs="Times New Roman"/>
          <w:sz w:val="28"/>
          <w:szCs w:val="28"/>
        </w:rPr>
        <w:t>6</w:t>
      </w:r>
      <w:r w:rsidR="0011196D">
        <w:rPr>
          <w:rFonts w:ascii="Times New Roman" w:hAnsi="Times New Roman" w:cs="Times New Roman"/>
          <w:sz w:val="28"/>
          <w:szCs w:val="28"/>
        </w:rPr>
        <w:t xml:space="preserve"> ноя</w:t>
      </w:r>
      <w:r w:rsidR="003B750B">
        <w:rPr>
          <w:rFonts w:ascii="Times New Roman" w:hAnsi="Times New Roman" w:cs="Times New Roman"/>
          <w:sz w:val="28"/>
          <w:szCs w:val="28"/>
        </w:rPr>
        <w:t>бря 202</w:t>
      </w:r>
      <w:r w:rsidR="009C73DA">
        <w:rPr>
          <w:rFonts w:ascii="Times New Roman" w:hAnsi="Times New Roman" w:cs="Times New Roman"/>
          <w:sz w:val="28"/>
          <w:szCs w:val="28"/>
        </w:rPr>
        <w:t>3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районного центра досуга по адресу: 674310, Забайкальский край, п.г.т. Приаргунск, ул. Губина, д. 9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11196D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3B750B">
        <w:rPr>
          <w:rFonts w:ascii="Times New Roman" w:hAnsi="Times New Roman" w:cs="Times New Roman"/>
          <w:sz w:val="28"/>
          <w:szCs w:val="28"/>
        </w:rPr>
        <w:t>7</w:t>
      </w:r>
      <w:r w:rsidR="00D7205A">
        <w:rPr>
          <w:rFonts w:ascii="Times New Roman" w:hAnsi="Times New Roman" w:cs="Times New Roman"/>
          <w:sz w:val="28"/>
          <w:szCs w:val="28"/>
        </w:rPr>
        <w:t>.00 часов.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3591" w:rsidRDefault="009C73D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 92</w:t>
      </w:r>
      <w:r w:rsidR="00D7205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205A">
        <w:rPr>
          <w:rFonts w:ascii="Times New Roman" w:hAnsi="Times New Roman" w:cs="Times New Roman"/>
          <w:sz w:val="28"/>
          <w:szCs w:val="28"/>
        </w:rPr>
        <w:t>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750B" w:rsidRPr="00CC4CB5" w:rsidRDefault="009C73DA" w:rsidP="001A4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Перминов В.А</w:t>
      </w:r>
      <w:r w:rsidR="003B750B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 w:rsidR="003B750B" w:rsidRPr="00CC4CB5">
        <w:rPr>
          <w:rFonts w:ascii="Times New Roman" w:hAnsi="Times New Roman" w:cs="Times New Roman"/>
          <w:sz w:val="28"/>
          <w:szCs w:val="28"/>
        </w:rPr>
        <w:t>Уважаемые присутствующие</w:t>
      </w:r>
      <w:r w:rsidR="003B750B">
        <w:rPr>
          <w:rFonts w:ascii="Times New Roman" w:hAnsi="Times New Roman" w:cs="Times New Roman"/>
          <w:sz w:val="28"/>
          <w:szCs w:val="28"/>
        </w:rPr>
        <w:t>, добрый вечер</w:t>
      </w:r>
      <w:r w:rsidR="003B750B" w:rsidRPr="00CC4CB5">
        <w:rPr>
          <w:rFonts w:ascii="Times New Roman" w:hAnsi="Times New Roman" w:cs="Times New Roman"/>
          <w:sz w:val="28"/>
          <w:szCs w:val="28"/>
        </w:rPr>
        <w:t>!</w:t>
      </w:r>
    </w:p>
    <w:p w:rsidR="008B3591" w:rsidRPr="00713195" w:rsidRDefault="003B750B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публичных слушаний в Приаргунском муниципальном округе, утв</w:t>
      </w:r>
      <w:r w:rsidR="001A4DCA">
        <w:rPr>
          <w:rFonts w:ascii="Times New Roman" w:hAnsi="Times New Roman" w:cs="Times New Roman"/>
          <w:sz w:val="28"/>
          <w:szCs w:val="28"/>
        </w:rPr>
        <w:t>ержденного р</w:t>
      </w:r>
      <w:r w:rsidRPr="00713195">
        <w:rPr>
          <w:rFonts w:ascii="Times New Roman" w:hAnsi="Times New Roman" w:cs="Times New Roman"/>
          <w:sz w:val="28"/>
          <w:szCs w:val="28"/>
        </w:rPr>
        <w:t>ешением Совета от 23.09.2022 №287 сегодня проводятся публичные слушания по обсуждению проекта решения Совета Приаргунского муниципального округа Забайкальского края «О бюджете Приаргунского муниципального округа на 202</w:t>
      </w:r>
      <w:r w:rsidR="009C73DA">
        <w:rPr>
          <w:rFonts w:ascii="Times New Roman" w:hAnsi="Times New Roman" w:cs="Times New Roman"/>
          <w:sz w:val="28"/>
          <w:szCs w:val="28"/>
        </w:rPr>
        <w:t>4</w:t>
      </w:r>
      <w:r w:rsidRPr="007131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73DA">
        <w:rPr>
          <w:rFonts w:ascii="Times New Roman" w:hAnsi="Times New Roman" w:cs="Times New Roman"/>
          <w:sz w:val="28"/>
          <w:szCs w:val="28"/>
        </w:rPr>
        <w:t>5</w:t>
      </w:r>
      <w:r w:rsidRPr="00713195">
        <w:rPr>
          <w:rFonts w:ascii="Times New Roman" w:hAnsi="Times New Roman" w:cs="Times New Roman"/>
          <w:sz w:val="28"/>
          <w:szCs w:val="28"/>
        </w:rPr>
        <w:t>-202</w:t>
      </w:r>
      <w:r w:rsidR="009C73DA">
        <w:rPr>
          <w:rFonts w:ascii="Times New Roman" w:hAnsi="Times New Roman" w:cs="Times New Roman"/>
          <w:sz w:val="28"/>
          <w:szCs w:val="28"/>
        </w:rPr>
        <w:t>6</w:t>
      </w:r>
      <w:r w:rsidRPr="00713195">
        <w:rPr>
          <w:rFonts w:ascii="Times New Roman" w:hAnsi="Times New Roman" w:cs="Times New Roman"/>
          <w:sz w:val="28"/>
          <w:szCs w:val="28"/>
        </w:rPr>
        <w:t xml:space="preserve"> годов». Инициатором </w:t>
      </w:r>
      <w:r w:rsidR="001A4DCA">
        <w:rPr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Pr="00713195">
        <w:rPr>
          <w:rFonts w:ascii="Times New Roman" w:hAnsi="Times New Roman" w:cs="Times New Roman"/>
          <w:sz w:val="28"/>
          <w:szCs w:val="28"/>
        </w:rPr>
        <w:t xml:space="preserve">слушаний является глава Приаргунского муниципального округа. Дата проведения публичных слушаний назначена постановлением главы администрации </w:t>
      </w:r>
      <w:r w:rsidR="001A4DCA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от </w:t>
      </w:r>
      <w:r w:rsidR="009C73DA">
        <w:rPr>
          <w:rFonts w:ascii="Times New Roman" w:hAnsi="Times New Roman" w:cs="Times New Roman"/>
          <w:sz w:val="28"/>
          <w:szCs w:val="28"/>
        </w:rPr>
        <w:t>10</w:t>
      </w:r>
      <w:r w:rsidRPr="00713195">
        <w:rPr>
          <w:rFonts w:ascii="Times New Roman" w:hAnsi="Times New Roman" w:cs="Times New Roman"/>
          <w:sz w:val="28"/>
          <w:szCs w:val="28"/>
        </w:rPr>
        <w:t>.11.202</w:t>
      </w:r>
      <w:r w:rsidR="009C73DA">
        <w:rPr>
          <w:rFonts w:ascii="Times New Roman" w:hAnsi="Times New Roman" w:cs="Times New Roman"/>
          <w:sz w:val="28"/>
          <w:szCs w:val="28"/>
        </w:rPr>
        <w:t>3 г №7</w:t>
      </w:r>
      <w:r w:rsidRPr="00713195">
        <w:rPr>
          <w:rFonts w:ascii="Times New Roman" w:hAnsi="Times New Roman" w:cs="Times New Roman"/>
          <w:sz w:val="28"/>
          <w:szCs w:val="28"/>
        </w:rPr>
        <w:t>. Указанным постановлением создана рабочая группа в составе:</w:t>
      </w:r>
    </w:p>
    <w:p w:rsidR="00D7205A" w:rsidRPr="00713195" w:rsidRDefault="003B750B" w:rsidP="00713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-Баженова В.В.</w:t>
      </w:r>
      <w:r w:rsidR="00D7205A" w:rsidRPr="00713195">
        <w:rPr>
          <w:rFonts w:ascii="Times New Roman" w:hAnsi="Times New Roman" w:cs="Times New Roman"/>
          <w:sz w:val="28"/>
          <w:szCs w:val="28"/>
        </w:rPr>
        <w:t>, председател</w:t>
      </w:r>
      <w:r w:rsidRPr="00713195">
        <w:rPr>
          <w:rFonts w:ascii="Times New Roman" w:hAnsi="Times New Roman" w:cs="Times New Roman"/>
          <w:sz w:val="28"/>
          <w:szCs w:val="28"/>
        </w:rPr>
        <w:t>ь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 Совета Приаргунского муниципального округа Забайкальского края;</w:t>
      </w:r>
    </w:p>
    <w:p w:rsidR="003B750B" w:rsidRPr="00713195" w:rsidRDefault="003B750B" w:rsidP="00713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-Колесникова Е.М., председатель комитета по финансам Приаргу</w:t>
      </w:r>
      <w:r w:rsidR="00713195" w:rsidRPr="00713195">
        <w:rPr>
          <w:rFonts w:ascii="Times New Roman" w:hAnsi="Times New Roman" w:cs="Times New Roman"/>
          <w:sz w:val="28"/>
          <w:szCs w:val="28"/>
        </w:rPr>
        <w:t>нского муниципального округа;</w:t>
      </w:r>
    </w:p>
    <w:p w:rsidR="00D7205A" w:rsidRPr="00713195" w:rsidRDefault="00D7205A" w:rsidP="00713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-</w:t>
      </w:r>
      <w:r w:rsidR="0011196D" w:rsidRPr="00713195">
        <w:rPr>
          <w:rFonts w:ascii="Times New Roman" w:hAnsi="Times New Roman" w:cs="Times New Roman"/>
          <w:sz w:val="28"/>
          <w:szCs w:val="28"/>
        </w:rPr>
        <w:t>Пешкова Е.Н.</w:t>
      </w:r>
      <w:r w:rsidRPr="00713195">
        <w:rPr>
          <w:rFonts w:ascii="Times New Roman" w:hAnsi="Times New Roman" w:cs="Times New Roman"/>
          <w:sz w:val="28"/>
          <w:szCs w:val="28"/>
        </w:rPr>
        <w:t xml:space="preserve">, </w:t>
      </w:r>
      <w:r w:rsidR="0011196D" w:rsidRPr="00713195">
        <w:rPr>
          <w:rFonts w:ascii="Times New Roman" w:hAnsi="Times New Roman" w:cs="Times New Roman"/>
          <w:sz w:val="28"/>
          <w:szCs w:val="28"/>
        </w:rPr>
        <w:t>заместитель руководителя аппарата Совета Приаргунского муниципального округа Забайкальского края</w:t>
      </w:r>
      <w:r w:rsidR="00713195" w:rsidRPr="00713195">
        <w:rPr>
          <w:rFonts w:ascii="Times New Roman" w:hAnsi="Times New Roman" w:cs="Times New Roman"/>
          <w:sz w:val="28"/>
          <w:szCs w:val="28"/>
        </w:rPr>
        <w:t>, секретарь.</w:t>
      </w:r>
    </w:p>
    <w:p w:rsidR="00713195" w:rsidRP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Все участники публичных слушаний прошли регистрацию.</w:t>
      </w:r>
    </w:p>
    <w:p w:rsidR="00713195" w:rsidRPr="00713195" w:rsidRDefault="009C73DA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195" w:rsidRPr="00713195">
        <w:rPr>
          <w:rFonts w:ascii="Times New Roman" w:hAnsi="Times New Roman" w:cs="Times New Roman"/>
          <w:sz w:val="28"/>
          <w:szCs w:val="28"/>
        </w:rPr>
        <w:t>редлагаю путем открытого голосования избрать председателем публичных слушаний Логунова Е.В., секретарем Пешкову Е.Н.</w:t>
      </w:r>
    </w:p>
    <w:p w:rsidR="00713195" w:rsidRDefault="001A4DCA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голосовать:</w:t>
      </w:r>
    </w:p>
    <w:p w:rsid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13195" w:rsidRP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Передаю слово председател</w:t>
      </w:r>
      <w:r w:rsidR="001A4DCA">
        <w:rPr>
          <w:rFonts w:ascii="Times New Roman" w:hAnsi="Times New Roman" w:cs="Times New Roman"/>
          <w:sz w:val="28"/>
          <w:szCs w:val="28"/>
        </w:rPr>
        <w:t>ю</w:t>
      </w:r>
      <w:r w:rsidRPr="00713195">
        <w:rPr>
          <w:rFonts w:ascii="Times New Roman" w:hAnsi="Times New Roman" w:cs="Times New Roman"/>
          <w:sz w:val="28"/>
          <w:szCs w:val="28"/>
        </w:rPr>
        <w:t xml:space="preserve"> публичных слушаний Логунову Е.В.</w:t>
      </w:r>
    </w:p>
    <w:p w:rsidR="00D7205A" w:rsidRPr="00713195" w:rsidRDefault="00D7205A" w:rsidP="007131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195" w:rsidRPr="00713195" w:rsidRDefault="0011196D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b/>
          <w:sz w:val="28"/>
          <w:szCs w:val="28"/>
        </w:rPr>
        <w:t>Логунов Е.В</w:t>
      </w:r>
      <w:r w:rsidR="00D7205A" w:rsidRPr="00713195">
        <w:rPr>
          <w:rFonts w:ascii="Times New Roman" w:hAnsi="Times New Roman" w:cs="Times New Roman"/>
          <w:b/>
          <w:sz w:val="28"/>
          <w:szCs w:val="28"/>
        </w:rPr>
        <w:t>.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: </w:t>
      </w:r>
      <w:r w:rsidR="00713195" w:rsidRPr="00713195">
        <w:rPr>
          <w:rFonts w:ascii="Times New Roman" w:hAnsi="Times New Roman" w:cs="Times New Roman"/>
          <w:sz w:val="28"/>
          <w:szCs w:val="28"/>
        </w:rPr>
        <w:t>Добрый вечер, уважаемые присутствующие!</w:t>
      </w:r>
    </w:p>
    <w:p w:rsidR="00713195" w:rsidRP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присутствуют депутаты, заместитель главы, председатели комитетов, начальники отделов администрации, территориальные органы администрации, специалисты администрации и комитетов, жители Приаргунского муниципального округа. </w:t>
      </w:r>
    </w:p>
    <w:p w:rsidR="00713195" w:rsidRP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Предлагаю следующий регламент обсуждения: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- доклад председателя комитета по финансам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-  вопросы докладчику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lastRenderedPageBreak/>
        <w:t>- заключительное выступление председательствующего.</w:t>
      </w:r>
    </w:p>
    <w:p w:rsid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 xml:space="preserve">Прошу голосовать за </w:t>
      </w:r>
      <w:r w:rsidR="001A4DCA">
        <w:rPr>
          <w:rFonts w:ascii="Times New Roman" w:hAnsi="Times New Roman" w:cs="Times New Roman"/>
          <w:sz w:val="28"/>
          <w:szCs w:val="28"/>
        </w:rPr>
        <w:t>предложенный порядок обсуждения:</w:t>
      </w:r>
    </w:p>
    <w:p w:rsid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На начало проведения публичных слушаний каких-либо замечаний и предложение в письменной форме не поступало.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Слово для доклада предоставляется председателю Комитета по финансам администрации П</w:t>
      </w:r>
      <w:r w:rsidR="009C73DA">
        <w:rPr>
          <w:rFonts w:ascii="Times New Roman" w:hAnsi="Times New Roman" w:cs="Times New Roman"/>
          <w:sz w:val="28"/>
          <w:szCs w:val="28"/>
        </w:rPr>
        <w:t>риаргунского муниципального округа</w:t>
      </w:r>
      <w:r w:rsidRPr="00713195">
        <w:rPr>
          <w:rFonts w:ascii="Times New Roman" w:hAnsi="Times New Roman" w:cs="Times New Roman"/>
          <w:sz w:val="28"/>
          <w:szCs w:val="28"/>
        </w:rPr>
        <w:t xml:space="preserve"> Колесниковой Е.М.</w:t>
      </w:r>
    </w:p>
    <w:p w:rsidR="008B3591" w:rsidRPr="00713195" w:rsidRDefault="008B3591" w:rsidP="007131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591" w:rsidRPr="00713195" w:rsidRDefault="00321C7C" w:rsidP="001A4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b/>
          <w:sz w:val="28"/>
          <w:szCs w:val="28"/>
        </w:rPr>
        <w:t>Колесникова Е.М</w:t>
      </w:r>
      <w:r w:rsidR="00D7205A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 Добрый день, уважаемые присутствующие. Было издано постановление главы Приаргунского муниципального округа Забайкальского края «</w:t>
      </w:r>
      <w:r w:rsidR="00335FAD" w:rsidRPr="00713195">
        <w:rPr>
          <w:rFonts w:ascii="Times New Roman" w:hAnsi="Times New Roman" w:cs="Times New Roman"/>
          <w:sz w:val="28"/>
          <w:szCs w:val="28"/>
        </w:rPr>
        <w:t xml:space="preserve">О назначении даты проведения публичных слушаний по </w:t>
      </w:r>
      <w:proofErr w:type="gramStart"/>
      <w:r w:rsidR="00335FAD" w:rsidRPr="00713195">
        <w:rPr>
          <w:rFonts w:ascii="Times New Roman" w:hAnsi="Times New Roman" w:cs="Times New Roman"/>
          <w:sz w:val="28"/>
          <w:szCs w:val="28"/>
        </w:rPr>
        <w:t>обсуждению  проекта</w:t>
      </w:r>
      <w:proofErr w:type="gramEnd"/>
      <w:r w:rsidR="00335FAD" w:rsidRPr="00713195">
        <w:rPr>
          <w:rFonts w:ascii="Times New Roman" w:hAnsi="Times New Roman" w:cs="Times New Roman"/>
          <w:sz w:val="28"/>
          <w:szCs w:val="28"/>
        </w:rPr>
        <w:t xml:space="preserve"> решения Совета Приаргунского муниципального округа «О бюджете Приаргунского муниципального округа на 202</w:t>
      </w:r>
      <w:r w:rsidR="00713195" w:rsidRPr="00713195">
        <w:rPr>
          <w:rFonts w:ascii="Times New Roman" w:hAnsi="Times New Roman" w:cs="Times New Roman"/>
          <w:sz w:val="28"/>
          <w:szCs w:val="28"/>
        </w:rPr>
        <w:t>3</w:t>
      </w:r>
      <w:r w:rsidR="00335FAD" w:rsidRPr="007131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13195" w:rsidRPr="00713195">
        <w:rPr>
          <w:rFonts w:ascii="Times New Roman" w:hAnsi="Times New Roman" w:cs="Times New Roman"/>
          <w:sz w:val="28"/>
          <w:szCs w:val="28"/>
        </w:rPr>
        <w:t>4</w:t>
      </w:r>
      <w:r w:rsidR="00335FAD" w:rsidRPr="00713195">
        <w:rPr>
          <w:rFonts w:ascii="Times New Roman" w:hAnsi="Times New Roman" w:cs="Times New Roman"/>
          <w:sz w:val="28"/>
          <w:szCs w:val="28"/>
        </w:rPr>
        <w:t>-202</w:t>
      </w:r>
      <w:r w:rsidR="00713195" w:rsidRPr="00713195">
        <w:rPr>
          <w:rFonts w:ascii="Times New Roman" w:hAnsi="Times New Roman" w:cs="Times New Roman"/>
          <w:sz w:val="28"/>
          <w:szCs w:val="28"/>
        </w:rPr>
        <w:t>5</w:t>
      </w:r>
      <w:r w:rsidR="00335FAD" w:rsidRPr="00713195">
        <w:rPr>
          <w:rFonts w:ascii="Times New Roman" w:hAnsi="Times New Roman" w:cs="Times New Roman"/>
          <w:sz w:val="28"/>
          <w:szCs w:val="28"/>
        </w:rPr>
        <w:t xml:space="preserve"> годов». 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Проект решения Совета был опубликован </w:t>
      </w:r>
      <w:r w:rsidRPr="00713195">
        <w:rPr>
          <w:rFonts w:ascii="Times New Roman" w:hAnsi="Times New Roman" w:cs="Times New Roman"/>
          <w:sz w:val="28"/>
          <w:szCs w:val="28"/>
        </w:rPr>
        <w:t xml:space="preserve">на официальном портале муниципального округа в информационно-телекоммуникационной сети «Интернет».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Прогнозирование доходов бюджета Приаргунского муниципального округа на 2024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округа, поддержке предпринимательской и инновационной деятельности.</w:t>
      </w:r>
    </w:p>
    <w:p w:rsidR="009C73DA" w:rsidRPr="009C73DA" w:rsidRDefault="009C73DA" w:rsidP="009C73DA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основу формирования показателей бюджета муниципального округа положены элементы законодательства Российской Федерации, Забайкальского края о налогах и сборах, действующего в 2023 году.</w:t>
      </w:r>
    </w:p>
    <w:p w:rsidR="009C73DA" w:rsidRPr="009C73DA" w:rsidRDefault="009C73DA" w:rsidP="009C73DA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Проектировки доходов бюджета муниципального округа на 2024 год рассчитаны на основании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согласованных  показателей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на 2024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проекте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на 2024 год мобилизованы все возможные к поступлению источники доходов.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бюджета Приаргунского муниципального округа на 2024 год определен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891384,5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общий объем расходов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890813,5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т.р.,запланирован</w:t>
      </w:r>
      <w:proofErr w:type="spellEnd"/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размер профицита бюджета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 xml:space="preserve">571,0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тыс. руб. на погашение   обязательств  по бюджетным кредитам.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бюджета округа на 2025 год определен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 xml:space="preserve">844277,9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общий объем расходов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842907,5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размер профицита бюджета составляет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1370,4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тыс. руб., на погашение обязательств по бюджетным кредитам.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округа на 2026 год определен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 xml:space="preserve">821140,3 </w:t>
      </w:r>
      <w:proofErr w:type="spellStart"/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общий объем расходов в сумме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 xml:space="preserve">819769,9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размер профицита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составляет </w:t>
      </w: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1370,4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тыс. руб., на погашение обязательств по бюджетным кредитам.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Объем налоговых и неналоговых доходов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на 2024 год прогнозируется в объеме 298351,8 тыс. рублей, или с увеличением на 1,16 процентов к бюджетным назначениям по доходам в 2023 году. Объем налоговых доходов составляет 289043,8 тыс. рублей, неналоговых доходов 9308,0 тыс. рублей. В том числе налог на доходы физических лиц увеличен на 1,19%, или 37117,3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, за счёт увеличения дополнительного норматива отчисления налога в местный бюджет, в сравнении с 2023г. Также в сравнении с 2023г. увеличены налог с применением патентной системой налогообложения на 1,0% (6,4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), налог взимаемый с упрощенной системой налогообложения уменьшен на 0,7% (1151,3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), в связи с отменой единого налога на вменённый доход с 01.01.2021г. Доходы от уплаты акцизов увеличены на 12,1% (3782,3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), согласно данным  Управления Федерального казначейства.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на 2024 год налоговые доходы составляют 96,9 процентов, неналоговые доходы 3,1 процента.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объеме налоговых и неналоговых доходов наибольший удельный вес занимают следующие налоги: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77,3 процентов (230509,8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Налоги на имущество 5,0 процентов (14963,8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Акцизы по подакцизным товарам, производимым на территории РФ 11,7 процентов (35015,1 </w:t>
      </w:r>
      <w:proofErr w:type="spellStart"/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3,1 процентов (9308,0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составляет 33,5 % в общем объеме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 Забайкальского края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Прогноз поступлений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социально-экономического развития на 2024 год и плановый период 2025 и 2026 годов, анализа динамики фактических поступлений за ряд лет, с учетом стандартных и других вычетов и распределением по нормативу отчислений в размере 52,9 % от поступления в консолидированный бюджет края. Дополнительно учтены данные о денежном довольствии военнослужащих.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Общая сумма поступлений налога на доходы физических лиц в бюджет муниципального Приаргунского округа на 2024 год прогнозируется в сумме 230509,8 тыс. рублей, с увеличением на 19,2 процента к годовым бюджетным назначениям 2023 года.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Акцизы по подакцизным товарам (продукции), производимым на территории Российской Федерации.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бюджете Приаргунского муниципального округа учтены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) двигателей. Общая сумма поступлений акцизов по подакцизным товарам, производимым на территории Российской Федерации, в бюджет муниципального округа в 2024 году составит 35015,1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Налоги на совокупный доход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налогов на совокупный доход прогнозируется в следующих размерах: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налога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взимаемого в связи с упрощенной системой налогообложения в размере 2669,7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., единого сельскохозяйственного налога в сумме 1686,0 тыс. рублей, налога, взимаемого с применением патентной системы налогообложения 1570,0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Прогноз поступлений в бюджет муниципального округа единого сельскохозяйственного налога осуществлен в соответствии с главой 26.1 «Система налогообложения для сельскохозяйственных товаропроизводителей». Прогноз налога на 2024 год рассчитан из фактического поступления 9 месяцев 2023 года.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Прогноз поступлений в бюджет муниципального округа налога, взимаемого в связи с патентной системой налогообложения, на 2024 год рассчитан из фактического поступления 9 месяцев 2023 года, с учетом статистической отчетности МРИ ФНС за 2022 год.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Прогноз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налога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взимаемого в связи с упрощенной системой налогообложения на 2024 год рассчитан из фактического поступления 9 месяцев 2023 года.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имущество физических лиц.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7186730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прогнозируется на основании данных статистической отчетности МРИ ФНС за 2022г. и исходя из фактических поступлений налогов за 9 месяцев 2023г. Налог на имущество физических лиц прогнозируется в сумме 2227,0 тыс. руб., </w:t>
      </w:r>
      <w:bookmarkEnd w:id="0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том числе 1277,0 тыс. рублей объём поступлений от уплаты налога физическими лицами и 950,0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>Земельный налог.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на 2024г. прогнозируется на основании данных статистической отчетности МРИ ФНС за 2022г. и исходя из фактических поступлений налогов за 9 месяцев 2023г., налог прогнозируется в сумме 12736,8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6831,4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налог с юридических лиц, 5905,4 налог с физических лиц.  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пошлина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поступлений государственной пошлины осуществлен в соответствии с Налоговым Кодексом РФ. Прогноз на 2024 год в сумме 2000,0 тыс. рублей рассчитан из расчета фактического поступления 9 месяцев 023 года. В составе данных платежей предусмотрена государственная пошлины по делам, рассматриваемым судами общей юрисдикции, мировыми судьями </w:t>
      </w:r>
    </w:p>
    <w:p w:rsidR="009C73DA" w:rsidRPr="009C73DA" w:rsidRDefault="009C73DA" w:rsidP="009C73DA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Общая сумма неналоговых доходов в бюджете муниципального округа на 2024 год прогнозируется в объеме 9308,0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прогнозируются следующие источники: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- Доходы от сдачи в аренду имущества в размере 18,4 тыс. рублей (согласно договорам аренды имущества муниципального округа).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- Доходы, получаемые в виде арендной платы за земельные участки, находящиеся в собственности поселений, прогнозируются в сумме 7339,6 тыс. рублей.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Платежи при пользовании природными ресурсами в сумме 450,0 тыс. рублей и подлежат зачислению в бюджет округа по нормативу 55% от поступлений в консолидированный бюджет края. 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- Доходы от продажи материальных и нематериальных активов 420,0 т.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-  Штрафы, санкции и возмещение ущерба прогнозируется в размере 980,0 тыс. рублей и подлежит зачислению в бюджет округа.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самообложения граждан.</w:t>
      </w:r>
    </w:p>
    <w:p w:rsidR="009C73DA" w:rsidRPr="009C73DA" w:rsidRDefault="009C73DA" w:rsidP="009C73DA">
      <w:pPr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Средства самообложения граждан прогнозируются в сумме 100,0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БЕЗВОЗМЕЗДНЫЕ ПОСТУПЛЕНИЯ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Запланированный объем</w:t>
      </w: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из краевого бюджета на 2024 год составляет 593032,7 тыс. рублей, что выше уровня 2023 года на 151219,8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 Объем безвозмездных поступлений в бюджет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из краевого бюджета составляет 66,5 процентов от объема бюджета 2024 года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Объем дотации на выравнивание бюджетной обеспеченности составляет 147621,0 тыс. рублей, что выше уровня 2023 года на 14717,0 тыс. рублей или на 111,1%.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Общий объем субвенций от других бюджетов бюджетной системы Российской Федерации планируется в сумме 360918,9 тыс. руб. что выше уровня 2023 года на 82018,2 тыс. руб., или 129,4 %.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субсидий от других бюджетов бюджетной системы Российской Федерации планируется в сумме 49073,3 тыс. рублей, что выше уровня 2023 года на 43616,4 тыс. руб. или 899,2%.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объем межбюджетных трансфертов от других бюджетов бюджетной системы Российской Федерации планируется в сумме 35419,5 тыс. рублей, что выше уровня 2023 года на 10868,2 тыс. руб. или 144,3 %.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РАСХОДЫ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73DA" w:rsidRPr="009C73DA" w:rsidRDefault="009C73DA" w:rsidP="009C73DA">
      <w:pPr>
        <w:tabs>
          <w:tab w:val="num" w:pos="0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3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качестве основных приоритетов при планировании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2024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расходной части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на 2024 год составляет 890813,5 тыс. руб.</w:t>
      </w:r>
    </w:p>
    <w:p w:rsidR="009C73DA" w:rsidRPr="009C73DA" w:rsidRDefault="009C73DA" w:rsidP="009C73DA">
      <w:pPr>
        <w:shd w:val="clear" w:color="auto" w:fill="FFFFFF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на 2024 год наибольший удельный вес занимают расходы на образование – 65,9 процентов, на общегосударственные расходы – 15,6 процентов, на социальную политику – 2,1 процента, на культуру – 4,6 процента, на капитальный ремонт и ремонт автомобильных дорог общего пользования населенных пунктов – 3,9 процентов, на жилищно-коммунальное хозяйство – 0,6 процента, на обслуживание муниципального долга – 0,01 процента. Удельный вес отраслей в общей структуре расходов на 2024 год по сравнению с 2023 годом в основном не изменился.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проекте бюджета на 2024 год финансирование целевых муниципальных программ Приаргунского муниципального округа предусмотрено в размере 13098,3 тыс. руб. 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Сумма расходов на оплату труда с начислениями на 2024 год прогнозируется в размере 643315,9 тыс. рублей, что составляет 72,2 процента в объеме расходов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, в том числе за счет местного бюджета – 275415,5 тыс. рублей в расчете на 8,5 месяцев без учета увеличения МРОТ в 2024 году.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проекте бюджета </w:t>
      </w:r>
      <w:r w:rsidRPr="009C73DA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9C73D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>предусмотрены средства на коммунальные услуги и котельно-печное топливо, исходя из предварительного прогноза показателей инфляции на 2024 год из расчета на 11,5 месяцев в размере 74024,8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 нормативными правовыми актами Забайкальского края и Российской Федерации, исполняющиеся в полном объеме. Прогнозируемый объем таких расходов рассчитан в сумме 18899,3 тыс. рублей. (опека, пенсия муниципальным служащим, комп. части род. платы)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«ОБЩЕГОСУДАРСТВЕННЫЕ РАСХОДЫ»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Основное место в их структуре</w:t>
      </w: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занимают бюджетные ассигнования на другие общегосударственные вопросы – 57,0 процентов к общему объему расходов. По подразделу 0113 отражены расходы по обеспечению хозяйственного обслуживания и коммунальных услуг органов местного самоуправления (заработная плата работников службы МТО, коммунальные услуги,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кпт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Подраздел «Функционирование высшего органа исполнительной власти Приаргунского муниципального округа» запланирован в сумме 44991,9 тыс. рублей и составляет 32,3 % к общему объему расходов раздела.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Денежное содержание главы Приаргунского муниципального округа запланировано в объеме 2390,5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запланированы в сумме 9674,6 тыс. рублей.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Подраздел «Функционирование представительных органов муниципальных образований» (КСП и Совет) запланирован в объеме 1710,1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Подраздел «Резервные фонды» в проекте бюджета на 2024 год запланирован в сумме 1200,0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Подраздел «Судебная система» в проекте бюджета на 2024 год запланирован в сумме 8,7 тыс. рублей на составление списков кандидатов в присяжные заседатели федеральных судов общей юрисдикции Российской Федерации.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sz w:val="26"/>
          <w:szCs w:val="26"/>
        </w:rPr>
        <w:t>РАЗДЕЛ «НАЦИОНАЛЬНАЯ БЕЗОПАСНОСТЬ И ПРАВООХРАНИТЕЛЬНАЯ ДЕЯТЕЛЬНОСТЬ»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Основное место в структуре расходов данного раздела занимают бюджетные ассигнования на защиту населения и территории от чрезвычайных ситуаций природного и техногенного характера, пожарная безопасность – 78,6 % к общему объему расходов по подразделу или 3666,9 тыс. руб. На предупреждение и ликвидацию последствий ЧС природного и техногенного характера запланированы бюджетные ассигнования в сумме 1000,0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«НАЦИОНАЛЬНАЯ ЭКОНОМИКА»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- «Капитальный ремонт и ремонт автомобильных дорог общего пользования населенных пунктов» - 38,7 процентов к общему объему расходов данного подраздела или 35015,1 тыс. рублей;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C7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«Сельское хозяйство и рыболовство» - 56,8 процентов к общему объему расходов данного подраздела или 51428,8 тыс. рублей, в том числе из бюджета края осуществление полномочий по организации мероприятий при осуществлении деятельности по обращению с животными без владельцев в сумме 1278,3 тыс. руб.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разделе запланирован подраздел «Другие вопросы в области национальной экономики» - в сумме 4105,2 тыс. рублей - содержание отдела по земельным и имущественным отношениям администрации Приаргунского муниципального округа. 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sz w:val="26"/>
          <w:szCs w:val="26"/>
        </w:rPr>
        <w:t>РАЗДЕЛ «ЖИЛИЩНО-КОММУНАЛЬНОЕ ХОЗЯЙСТВО»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Основное место в структуре расходов данного раздела занимает подраздел «Благоустройство» - 99,6 % или 5550,3 тыс. руб. Подраздел «Коммунальное хозяйство» запланирован в сумме 23,8 тыс. рублей на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субсидии по модернизации объектов коммунальной инфраструктуры.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«ОБРАЗОВАНИЕ»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состав подраздела «Дошкольное образование» предусмотрены ассигнования в сумме 135421,3 тыс. рублей на содержание 13 детских дошкольных учреждений в количестве 41 группы с численностью 653 ребенка, в том числе ФОТ -117202,8 тыс. руб. Финансирование за счет средств бюджета муниципального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округа  составит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– 45216,4 тыс. руб. из них ФОТ – 30312,6 тыс. рублей; 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составе подраздела «Общее образование» предусмотрены ассигнования в сумме 395217,9 тыс. рублей: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учреждениях- 249558,9 тыс. рублей, в том числе ФОТ – 246648,7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Средства за счет местного бюджета запланированы в сумме 110382,2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., в том числе ФОТ 58805,0 тыс. рублей;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предусмотрены бюджетные ассигнований: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- на обеспечение льготным питанием детей из малоимущих семей, обучающихся в муниципальных общеобразовательных учреждениях в сумме 2315,3 тыс. руб. из расчета 45,0 руб. в день на одного ребенка (всего 43 ребенка)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23553,2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коэффициентов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и процентных надбавок к ним за стаж работы в районах крайнего севера и приравненных к ним местностям в сумме 6701,3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составе подраздела «Дополнительное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 24805,9 тыс. рублей. Данные бюджетные учреждения находятся в ведомстве Комитета образования (Дом детского творчества и Детско-юношеская спортивная школа -20937,2 тыс. руб.) и Комитета культуры (Детская школа искусств – 3709,7 тыс. руб.) Приаргунского муниципального округа.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том числе по программе «Развитие системы образования в Приаргунском муниципальном округе Забайкальского края» на 2021-2025 годы» запланированы расходы на обеспечение функционирования модели персонифицированного учета дополнительного образования в сумме 4535,6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Так же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1656,0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обеспечение летнего отдыха детей в каникулярное время Приаргунского муниципального округа за счет местного бюджета предусмотрено в сумме 2727,3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Бюджетные ассигнования, предусмотренные в подразделе «Другие вопросы в области образования» направляются: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3280,9 тыс. рублей;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трех отделов, обеспечивающих предоставление услуг в сфере образования (учебно-методический кабинет, централизованная бухгалтерия, </w:t>
      </w:r>
      <w:proofErr w:type="spellStart"/>
      <w:r w:rsidRPr="009C73DA">
        <w:rPr>
          <w:rFonts w:ascii="Times New Roman" w:eastAsia="Times New Roman" w:hAnsi="Times New Roman" w:cs="Times New Roman"/>
          <w:sz w:val="28"/>
          <w:szCs w:val="28"/>
        </w:rPr>
        <w:t>хоз.группа</w:t>
      </w:r>
      <w:proofErr w:type="spellEnd"/>
      <w:r w:rsidRPr="009C73DA">
        <w:rPr>
          <w:rFonts w:ascii="Times New Roman" w:eastAsia="Times New Roman" w:hAnsi="Times New Roman" w:cs="Times New Roman"/>
          <w:sz w:val="28"/>
          <w:szCs w:val="28"/>
        </w:rPr>
        <w:t>) в сумме 18908,9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2881,1 тыс. рублей, а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отдыха детей в каникулярное время за счет бюджета Забайкальского края в сумме 3374,5 тыс. рублей.</w:t>
      </w:r>
    </w:p>
    <w:p w:rsidR="009C73DA" w:rsidRPr="009C73DA" w:rsidRDefault="009C73DA" w:rsidP="009C73DA">
      <w:pPr>
        <w:tabs>
          <w:tab w:val="left" w:pos="1965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3DA" w:rsidRPr="009C73DA" w:rsidRDefault="009C73DA" w:rsidP="009C73DA">
      <w:pPr>
        <w:tabs>
          <w:tab w:val="left" w:pos="1965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«КУЛЬТУРА, КИНЕМАТОГРАФИЯ»</w:t>
      </w:r>
    </w:p>
    <w:p w:rsidR="009C73DA" w:rsidRPr="009C73DA" w:rsidRDefault="009C73DA" w:rsidP="009C73DA">
      <w:pPr>
        <w:tabs>
          <w:tab w:val="left" w:pos="1965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 Приаргунского муниципального округа в сфере культуры определены в объеме 40673,5 тыс. рублей, из которых наибольший удельный вес занимают учреждения культуры 79,7 процента или 32398,7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содержание Домов культуры запланирована сумма 19493,4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содержание Приаргунского историко-художественного музея в сумме 958,5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lastRenderedPageBreak/>
        <w:t>На организацию библиотечного обслуживания 11346,8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данном разделе предусмотрена муниципальная программа «Развитие культуры в Приаргунском муниципальном округе Забайкальского края на 2022-2026 годы» в сумме 600,0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составе бюджетных ассигнований раздела предусмотрены ассигнования по подразделу «Другие вопросы в области культуры» в сумме 8274,8 тыс. рублей: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2297,3 тыс. рублей;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на содержание централизованной бухгалтерии и хозяйственно-эксплуатационной группы – 5977,5 тыс. рублей.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«СОЦИАЛЬНАЯ ПОЛИТИКА»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муниципального округа на 2024 год определены в сумме 18899,3 тыс. рублей. Наибольший удельный вес занимает подраздел «Охрана семьи и детства» - 65,6 процентов или 12399,3 тыс. руб. Расходы на содержание ребенка в семье опекуна и приемной семье, а </w:t>
      </w:r>
      <w:proofErr w:type="gramStart"/>
      <w:r w:rsidRPr="009C73DA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вознаграждение, причитающиеся приемному родителю составляют 11176,4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Так же в данном разделе предусмотрены расходы по пенсионному обеспечению муниципальных служащих в сумме 6500,0 тыс. руб.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sz w:val="26"/>
          <w:szCs w:val="26"/>
        </w:rPr>
        <w:t>РАЗДЕЛ «ФИЗИЧЕСКАЯ КУЛЬТУРА И СПОРТ»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бюджете Приаргунского муниципального округа на 2024 год запланированы бюджетные ассигнования по расходам на физическую культуру и спорт в сумме 505,0 тыс. рублей на проведение спортивных соревнований.</w:t>
      </w:r>
    </w:p>
    <w:p w:rsidR="009C73DA" w:rsidRPr="009C73DA" w:rsidRDefault="009C73DA" w:rsidP="009C73DA">
      <w:pPr>
        <w:tabs>
          <w:tab w:val="left" w:pos="1380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sz w:val="26"/>
          <w:szCs w:val="26"/>
        </w:rPr>
        <w:t>РАЗДЕЛ «СРЕДСТВА МАССОВОЙ ИНФОРМАЦИИ»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состав бюджетных ассигнований раздела «Средства массовой информации» предусмотрены ассигнования на предоставление субсидий автономному учреждению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«Автономное редакционно-издательское учреждение «Приаргунская заря» - 3981,0 тыс. рублей.</w:t>
      </w:r>
    </w:p>
    <w:p w:rsidR="009C73DA" w:rsidRPr="009C73DA" w:rsidRDefault="009C73DA" w:rsidP="009C73DA">
      <w:pPr>
        <w:spacing w:after="0" w:line="240" w:lineRule="auto"/>
        <w:ind w:right="-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«ОБСЛУЖИВАНИЕ ГОСУДАРСТВЕННОГО ВНУТРЕННЕГО И МУНИЦИПАЛЬНОГО ДОЛГА»</w:t>
      </w:r>
    </w:p>
    <w:p w:rsidR="009C73DA" w:rsidRPr="009C73DA" w:rsidRDefault="009C73DA" w:rsidP="009C73DA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По разделу «Обслуживание государственного внутреннего и муниципального долга» расходные обязательства предусмотрены в сумме 8,0 тыс. руб. или 100 процентов к общему объему расходов по подразделу.</w:t>
      </w:r>
    </w:p>
    <w:p w:rsidR="009C73DA" w:rsidRPr="009C73DA" w:rsidRDefault="009C73DA" w:rsidP="009C73DA">
      <w:pPr>
        <w:tabs>
          <w:tab w:val="left" w:pos="1770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3DA" w:rsidRPr="009C73DA" w:rsidRDefault="009C73DA" w:rsidP="009C73DA">
      <w:pPr>
        <w:tabs>
          <w:tab w:val="left" w:pos="1770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3DA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 МУНИЦИПАЛЬНЫХ ВНУТРЕННИХ ЗАИМСТВОВАНИЙ ПРИАРГУНСКОГО МУНИЦИПАЛЬНОГО ОКРУГА</w:t>
      </w:r>
    </w:p>
    <w:p w:rsidR="009C73DA" w:rsidRPr="009C73DA" w:rsidRDefault="009C73DA" w:rsidP="009C73DA">
      <w:pPr>
        <w:tabs>
          <w:tab w:val="left" w:pos="1770"/>
        </w:tabs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>В соответствии со ст. 110 Бюджетного кодекса Российской Федерации предлагается утвердить программу муниципальных гарантий Приаргунского муниципального округа на 2024 год. Но муниципальные гарантии администрация Приаргунского муниципального округа подписывать не планирует.</w:t>
      </w:r>
    </w:p>
    <w:p w:rsidR="009C73DA" w:rsidRPr="009C73DA" w:rsidRDefault="009C73DA" w:rsidP="009C73DA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A">
        <w:rPr>
          <w:rFonts w:ascii="Times New Roman" w:eastAsia="Times New Roman" w:hAnsi="Times New Roman" w:cs="Times New Roman"/>
          <w:sz w:val="28"/>
          <w:szCs w:val="28"/>
        </w:rPr>
        <w:t xml:space="preserve">Внутренние заимствования, кредиты администрация Приаргунского муниципального округа предоставлять не планирует, погашение бюджетного кредита на 2024 год запланировано в сумме 571,0 тыс. руб. </w:t>
      </w:r>
    </w:p>
    <w:p w:rsidR="009C73DA" w:rsidRPr="009C73DA" w:rsidRDefault="009C73DA" w:rsidP="009C73DA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95" w:rsidRDefault="00713195" w:rsidP="007131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95" w:rsidRDefault="00713195" w:rsidP="001A4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195">
        <w:rPr>
          <w:rFonts w:ascii="Times New Roman" w:eastAsia="Times New Roman" w:hAnsi="Times New Roman" w:cs="Times New Roman"/>
          <w:b/>
          <w:sz w:val="28"/>
          <w:szCs w:val="28"/>
        </w:rPr>
        <w:t>Логунов Е.В.:</w:t>
      </w:r>
      <w:r w:rsidR="00B11481">
        <w:rPr>
          <w:rFonts w:ascii="Times New Roman" w:eastAsia="Times New Roman" w:hAnsi="Times New Roman" w:cs="Times New Roman"/>
          <w:sz w:val="28"/>
          <w:szCs w:val="28"/>
        </w:rPr>
        <w:t xml:space="preserve"> Какие будут вопросы, предложения?</w:t>
      </w:r>
    </w:p>
    <w:p w:rsidR="00B11481" w:rsidRPr="00713195" w:rsidRDefault="009C73DA" w:rsidP="00B1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Перминов В.А</w:t>
      </w:r>
      <w:r w:rsidR="00B11481" w:rsidRPr="00B11481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B11481">
        <w:rPr>
          <w:rFonts w:ascii="Times New Roman" w:eastAsia="Times New Roman" w:hAnsi="Times New Roman" w:cs="Times New Roman"/>
          <w:sz w:val="28"/>
          <w:szCs w:val="28"/>
        </w:rPr>
        <w:t xml:space="preserve"> предлагаю одобрить проект </w:t>
      </w:r>
      <w:r w:rsidR="00B11481">
        <w:rPr>
          <w:rFonts w:ascii="Times New Roman" w:hAnsi="Times New Roman" w:cs="Times New Roman"/>
          <w:sz w:val="28"/>
          <w:szCs w:val="28"/>
        </w:rPr>
        <w:t>решения «О бюджете Приаргунского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="00B114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148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11481" w:rsidRDefault="00B11481" w:rsidP="001A4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95" w:rsidRPr="00713195" w:rsidRDefault="00B11481" w:rsidP="00B1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81">
        <w:rPr>
          <w:rFonts w:ascii="Times New Roman" w:eastAsia="Times New Roman" w:hAnsi="Times New Roman" w:cs="Times New Roman"/>
          <w:b/>
          <w:sz w:val="28"/>
          <w:szCs w:val="28"/>
        </w:rPr>
        <w:t>Логунов Е.В.:</w:t>
      </w:r>
      <w:r w:rsidR="00713195">
        <w:rPr>
          <w:rFonts w:ascii="Times New Roman" w:eastAsia="Times New Roman" w:hAnsi="Times New Roman" w:cs="Times New Roman"/>
          <w:sz w:val="28"/>
          <w:szCs w:val="28"/>
        </w:rPr>
        <w:t xml:space="preserve"> прошу голосовать за </w:t>
      </w:r>
      <w:r w:rsidR="001A4DCA">
        <w:rPr>
          <w:rFonts w:ascii="Times New Roman" w:hAnsi="Times New Roman" w:cs="Times New Roman"/>
          <w:sz w:val="28"/>
          <w:szCs w:val="28"/>
        </w:rPr>
        <w:t>принятие проекта решения «О бюджете Приаргунского муниципального округа на 202</w:t>
      </w:r>
      <w:r w:rsidR="009C73DA">
        <w:rPr>
          <w:rFonts w:ascii="Times New Roman" w:hAnsi="Times New Roman" w:cs="Times New Roman"/>
          <w:sz w:val="28"/>
          <w:szCs w:val="28"/>
        </w:rPr>
        <w:t>4</w:t>
      </w:r>
      <w:r w:rsidR="001A4D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73DA">
        <w:rPr>
          <w:rFonts w:ascii="Times New Roman" w:hAnsi="Times New Roman" w:cs="Times New Roman"/>
          <w:sz w:val="28"/>
          <w:szCs w:val="28"/>
        </w:rPr>
        <w:t>5</w:t>
      </w:r>
      <w:r w:rsidR="001A4DCA">
        <w:rPr>
          <w:rFonts w:ascii="Times New Roman" w:hAnsi="Times New Roman" w:cs="Times New Roman"/>
          <w:sz w:val="28"/>
          <w:szCs w:val="28"/>
        </w:rPr>
        <w:t>-202</w:t>
      </w:r>
      <w:r w:rsidR="009C73DA">
        <w:rPr>
          <w:rFonts w:ascii="Times New Roman" w:hAnsi="Times New Roman" w:cs="Times New Roman"/>
          <w:sz w:val="28"/>
          <w:szCs w:val="28"/>
        </w:rPr>
        <w:t>6</w:t>
      </w:r>
      <w:r w:rsidR="001A4DC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21C7C" w:rsidRDefault="00321C7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6AC" w:rsidRDefault="007656A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7656AC" w:rsidRDefault="007656A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A4DCA">
        <w:rPr>
          <w:rFonts w:ascii="Times New Roman" w:hAnsi="Times New Roman" w:cs="Times New Roman"/>
          <w:sz w:val="28"/>
          <w:szCs w:val="28"/>
        </w:rPr>
        <w:t>9</w:t>
      </w:r>
      <w:r w:rsidR="009C7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656AC" w:rsidRDefault="007656A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0 человек</w:t>
      </w:r>
    </w:p>
    <w:p w:rsidR="007656AC" w:rsidRDefault="007656A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«воздержалось» - </w:t>
      </w:r>
      <w:r w:rsidR="00726F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656AC" w:rsidRDefault="007656AC" w:rsidP="008B3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DCA" w:rsidRPr="001A4DCA" w:rsidRDefault="00726F06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b/>
          <w:sz w:val="28"/>
          <w:szCs w:val="28"/>
        </w:rPr>
        <w:t>Логунов Е.В</w:t>
      </w:r>
      <w:r w:rsidR="007656AC" w:rsidRPr="001A4DCA">
        <w:rPr>
          <w:rFonts w:ascii="Times New Roman" w:hAnsi="Times New Roman" w:cs="Times New Roman"/>
          <w:b/>
          <w:sz w:val="28"/>
          <w:szCs w:val="28"/>
        </w:rPr>
        <w:t>.: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 </w:t>
      </w:r>
      <w:r w:rsidR="001A4DCA" w:rsidRPr="001A4DCA">
        <w:rPr>
          <w:rFonts w:ascii="Times New Roman" w:hAnsi="Times New Roman" w:cs="Times New Roman"/>
          <w:sz w:val="28"/>
          <w:szCs w:val="28"/>
        </w:rPr>
        <w:t>Заслушав информацию председателя комитета по финансам Приаргунского муниципального округа по проекту решения Совета Приаргунского муниципального округа «О бюджете Приаргунского муниципального округа на 202</w:t>
      </w:r>
      <w:r w:rsidR="009C73DA">
        <w:rPr>
          <w:rFonts w:ascii="Times New Roman" w:hAnsi="Times New Roman" w:cs="Times New Roman"/>
          <w:sz w:val="28"/>
          <w:szCs w:val="28"/>
        </w:rPr>
        <w:t>4</w:t>
      </w:r>
      <w:r w:rsidR="001A4DCA" w:rsidRPr="001A4D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73DA">
        <w:rPr>
          <w:rFonts w:ascii="Times New Roman" w:hAnsi="Times New Roman" w:cs="Times New Roman"/>
          <w:sz w:val="28"/>
          <w:szCs w:val="28"/>
        </w:rPr>
        <w:t>5</w:t>
      </w:r>
      <w:r w:rsidR="001A4DCA" w:rsidRPr="001A4DCA">
        <w:rPr>
          <w:rFonts w:ascii="Times New Roman" w:hAnsi="Times New Roman" w:cs="Times New Roman"/>
          <w:sz w:val="28"/>
          <w:szCs w:val="28"/>
        </w:rPr>
        <w:t>-202</w:t>
      </w:r>
      <w:r w:rsidR="009C73DA">
        <w:rPr>
          <w:rFonts w:ascii="Times New Roman" w:hAnsi="Times New Roman" w:cs="Times New Roman"/>
          <w:sz w:val="28"/>
          <w:szCs w:val="28"/>
        </w:rPr>
        <w:t>6</w:t>
      </w:r>
      <w:r w:rsidR="001A4DCA" w:rsidRPr="001A4DCA">
        <w:rPr>
          <w:rFonts w:ascii="Times New Roman" w:hAnsi="Times New Roman" w:cs="Times New Roman"/>
          <w:sz w:val="28"/>
          <w:szCs w:val="28"/>
        </w:rPr>
        <w:t xml:space="preserve"> годов», участники публичных слушаний пришли к выводу, что проект решения не противоречит действующему законодательству РФ, Забайкальского края и нормативным правовым актам Приаргунского муниципального округа. Проведя голосование, рекомендую:</w:t>
      </w:r>
    </w:p>
    <w:p w:rsidR="001A4DCA" w:rsidRPr="001A4DCA" w:rsidRDefault="001A4DCA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1. Одобрить проект решения Совета Приаргунского муниципального округа «О бюджете Приаргунского муниципального округа на 202</w:t>
      </w:r>
      <w:r w:rsidR="009C73DA">
        <w:rPr>
          <w:rFonts w:ascii="Times New Roman" w:hAnsi="Times New Roman" w:cs="Times New Roman"/>
          <w:sz w:val="28"/>
          <w:szCs w:val="28"/>
        </w:rPr>
        <w:t>4</w:t>
      </w:r>
      <w:r w:rsidRPr="001A4D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73DA">
        <w:rPr>
          <w:rFonts w:ascii="Times New Roman" w:hAnsi="Times New Roman" w:cs="Times New Roman"/>
          <w:sz w:val="28"/>
          <w:szCs w:val="28"/>
        </w:rPr>
        <w:t>5</w:t>
      </w:r>
      <w:r w:rsidRPr="001A4DCA">
        <w:rPr>
          <w:rFonts w:ascii="Times New Roman" w:hAnsi="Times New Roman" w:cs="Times New Roman"/>
          <w:sz w:val="28"/>
          <w:szCs w:val="28"/>
        </w:rPr>
        <w:t>-202</w:t>
      </w:r>
      <w:r w:rsidR="009C73DA">
        <w:rPr>
          <w:rFonts w:ascii="Times New Roman" w:hAnsi="Times New Roman" w:cs="Times New Roman"/>
          <w:sz w:val="28"/>
          <w:szCs w:val="28"/>
        </w:rPr>
        <w:t>6</w:t>
      </w:r>
      <w:r w:rsidRPr="001A4DC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A4DCA" w:rsidRPr="001A4DCA" w:rsidRDefault="001A4DCA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 xml:space="preserve">2. Совету Приаргунского муниципального округа Забайкальского края на очередной сессии рассмотреть и принять решение Совета Приаргунского </w:t>
      </w:r>
      <w:r w:rsidRPr="001A4DCA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«О бюджете Приаргунского муниципального округа на 202</w:t>
      </w:r>
      <w:r w:rsidR="009C73DA">
        <w:rPr>
          <w:rFonts w:ascii="Times New Roman" w:hAnsi="Times New Roman" w:cs="Times New Roman"/>
          <w:sz w:val="28"/>
          <w:szCs w:val="28"/>
        </w:rPr>
        <w:t>4</w:t>
      </w:r>
      <w:r w:rsidRPr="001A4D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73DA">
        <w:rPr>
          <w:rFonts w:ascii="Times New Roman" w:hAnsi="Times New Roman" w:cs="Times New Roman"/>
          <w:sz w:val="28"/>
          <w:szCs w:val="28"/>
        </w:rPr>
        <w:t>5</w:t>
      </w:r>
      <w:r w:rsidRPr="001A4DCA">
        <w:rPr>
          <w:rFonts w:ascii="Times New Roman" w:hAnsi="Times New Roman" w:cs="Times New Roman"/>
          <w:sz w:val="28"/>
          <w:szCs w:val="28"/>
        </w:rPr>
        <w:t>-202</w:t>
      </w:r>
      <w:r w:rsidR="009C73DA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1A4DC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A4DCA" w:rsidRPr="001A4DCA" w:rsidRDefault="001A4DCA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3.Рекомендации по итогам проведения публичных слушаний официально опубликовать.</w:t>
      </w:r>
    </w:p>
    <w:p w:rsidR="001A4DCA" w:rsidRPr="001A4DCA" w:rsidRDefault="001A4DCA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Прошу голосовать за предложенные рекомендации</w:t>
      </w:r>
    </w:p>
    <w:p w:rsidR="001A4DCA" w:rsidRPr="001A4DCA" w:rsidRDefault="001A4DCA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«За» единогласно.</w:t>
      </w:r>
    </w:p>
    <w:p w:rsidR="007656AC" w:rsidRDefault="00726F06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Проект решения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 принят и одобрен. </w:t>
      </w:r>
      <w:r w:rsidR="00387F1D" w:rsidRPr="001A4DCA">
        <w:rPr>
          <w:rFonts w:ascii="Times New Roman" w:hAnsi="Times New Roman" w:cs="Times New Roman"/>
          <w:sz w:val="28"/>
          <w:szCs w:val="28"/>
        </w:rPr>
        <w:t>Публичные слушания закончились.</w:t>
      </w:r>
      <w:r w:rsidR="001A4DCA">
        <w:rPr>
          <w:rFonts w:ascii="Times New Roman" w:hAnsi="Times New Roman" w:cs="Times New Roman"/>
          <w:sz w:val="28"/>
          <w:szCs w:val="28"/>
        </w:rPr>
        <w:t xml:space="preserve"> Спасибо за участие.</w:t>
      </w:r>
    </w:p>
    <w:p w:rsidR="001A4DCA" w:rsidRDefault="001A4DCA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DCA" w:rsidRPr="001A4DCA" w:rsidRDefault="001A4DCA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6AC" w:rsidRPr="001A4DCA" w:rsidRDefault="007656AC" w:rsidP="001A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Pr="00724A91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Е.Н.Пешкова</w:t>
      </w:r>
      <w:proofErr w:type="spellEnd"/>
    </w:p>
    <w:p w:rsidR="007F32FF" w:rsidRDefault="007F32FF"/>
    <w:sectPr w:rsidR="007F32FF" w:rsidSect="007604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A"/>
    <w:rsid w:val="0011196D"/>
    <w:rsid w:val="001822FB"/>
    <w:rsid w:val="001A2A1F"/>
    <w:rsid w:val="001A4DCA"/>
    <w:rsid w:val="0022280F"/>
    <w:rsid w:val="002366E3"/>
    <w:rsid w:val="00321C7C"/>
    <w:rsid w:val="00335FAD"/>
    <w:rsid w:val="00387F1D"/>
    <w:rsid w:val="003B750B"/>
    <w:rsid w:val="006F25AA"/>
    <w:rsid w:val="00713195"/>
    <w:rsid w:val="00726F06"/>
    <w:rsid w:val="007656AC"/>
    <w:rsid w:val="007B01E2"/>
    <w:rsid w:val="007F32FF"/>
    <w:rsid w:val="008B3591"/>
    <w:rsid w:val="00926634"/>
    <w:rsid w:val="009C73DA"/>
    <w:rsid w:val="00A405F4"/>
    <w:rsid w:val="00AF6A4F"/>
    <w:rsid w:val="00B11481"/>
    <w:rsid w:val="00D107FA"/>
    <w:rsid w:val="00D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01FC-B2A1-4B76-A0B7-EA050E5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2023-11-17T02:09:00Z</cp:lastPrinted>
  <dcterms:created xsi:type="dcterms:W3CDTF">2023-11-17T02:12:00Z</dcterms:created>
  <dcterms:modified xsi:type="dcterms:W3CDTF">2023-11-17T02:12:00Z</dcterms:modified>
</cp:coreProperties>
</file>