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69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t xml:space="preserve">Росреестр разъясняет: Электронный архив реестровых дел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Segoe UI" w:hAnsi="Segoe UI" w:cs="Segoe UI"/>
          <w:sz w:val="24"/>
          <w:szCs w:val="24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t xml:space="preserve">Зачастую гражданам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 может потребоваться получить сведения из Единого государственного реестра недвижимости о принадлежащем ему объекте недвижимости в виде копии документа, хранящегося в реестровом деле. 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 филиал ППК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 «Роскадастр» по Забайкальскому краю несколько лет назад переданы полномочия по ведению и хранению всех бумажных архивов реестровых дел. При этом может возникнуть вопрос, что же лучше электронный или привычный бумажный архив. 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r>
      <w:r/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При хранении документов в бумажном виде всегда существует риск порчи или утраты важных документов, которые иногда хранятся в единственном экземпля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ре в архиве. Бумажный документооборот замедляет работу структурных подразделений и снижает ее эффективность. Эти несовершенства бумажного архива продиктовали необходимость перехода к электронному архиву, который, по сравнению с бумажным имеет следующие пре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имущества: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- электронный архив не требует площадей для хранения документов, а резервное копирование информации гарантирует сохранность всех электронных образов даже при системных сбоях;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r>
      <w:r/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t xml:space="preserve">- 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информация профессионально защищена. Электронный архив решает проблему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 утери важных документов по неосторожности, при их передаче, транспортировке, либо по причине воздействия окружающей среды (пожар, наводнение и т.п.). Таким образом, все документы будут доступны для работы в любое время и защищены от порчи в процессе устар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евания бумажного носителя;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- быстрый поиск нужного документа, что в свою очередь может уменьшить срок получения государственной услуги заявителем;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- единая база оптимизирует работу отделов, ускоряя доступ к нужной документации.</w:t>
      </w:r>
      <w:r/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t xml:space="preserve">П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еревод бумажных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 реестровых дел в рамках реализации мероприятий государственной программы Российской Федерации «Национальная система пространственных данных», утвержденной постановлением Правительства РФ от 1 декабря 2021 года № 2148, дает свои результаты в виде уменьшени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я сроков предоставления государственных услуг, а также упрощения подачи обращений посредством различных электронных сервисов и порталов. 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pStyle w:val="771"/>
        <w:numPr>
          <w:ilvl w:val="0"/>
          <w:numId w:val="5"/>
        </w:numPr>
        <w:ind w:left="0" w:right="0" w:firstLine="425"/>
        <w:jc w:val="both"/>
        <w:spacing w:before="57" w:beforeAutospacing="0" w:after="57" w:afterAutospacing="0" w:line="283" w:lineRule="atLeast"/>
        <w:rPr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  <w:t xml:space="preserve">Э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лектронный образ бумажного документа, полученного заявителем, зачастую имеет лучшее качество отобра</w:t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white"/>
        </w:rPr>
        <w:t xml:space="preserve">жения информации по сравнению с бумажной копией того же документа. Поэтому хранение и получение сведений в электронном виде имеет гораздо больше плюсов, чем бумажный документооборот, – отмечает Ольга Маркова, член Общественного совета Управления Росреестра по Забайкальскому краю, президент региональной Нотариальной палаты.</w:t>
      </w:r>
      <w:r/>
      <w:r/>
    </w:p>
    <w:p>
      <w:pPr>
        <w:ind w:left="0" w:right="0" w:firstLine="567"/>
        <w:jc w:val="both"/>
        <w:spacing w:before="57" w:beforeAutospacing="0" w:after="57" w:afterAutospacing="0" w:line="283" w:lineRule="atLeast"/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color w:val="1a1a1a"/>
          <w:sz w:val="24"/>
          <w:szCs w:val="24"/>
          <w:highlight w:val="none"/>
        </w:rPr>
      </w:r>
    </w:p>
    <w:p>
      <w:pPr>
        <w:ind w:left="0" w:right="0" w:firstLine="0"/>
        <w:jc w:val="both"/>
        <w:spacing w:after="62" w:line="276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#Росреестр #РосреестрЧита #РосреестрЗабайкальскийКрай #ЗабайкальскийРосреестр #Росреестр75 #Госуслуги #Недвижимость #ЕГРН #Реестр #СтопБумага #ЭлектронныйАрхив</w:t>
      </w:r>
      <w:r>
        <w:rPr>
          <w:rFonts w:ascii="Times New Roman" w:hAnsi="Times New Roman" w:cs="Times New Roman"/>
          <w:sz w:val="28"/>
          <w:szCs w:val="28"/>
        </w:rPr>
      </w:r>
      <w:r>
        <w:rPr>
          <w:sz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6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2"/>
    <w:next w:val="7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2"/>
    <w:next w:val="7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2"/>
    <w:next w:val="7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2"/>
    <w:next w:val="7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2"/>
    <w:next w:val="7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2"/>
    <w:next w:val="7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4"/>
    <w:link w:val="34"/>
    <w:uiPriority w:val="10"/>
    <w:rPr>
      <w:sz w:val="48"/>
      <w:szCs w:val="48"/>
    </w:rPr>
  </w:style>
  <w:style w:type="paragraph" w:styleId="36">
    <w:name w:val="Subtitle"/>
    <w:basedOn w:val="762"/>
    <w:next w:val="7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4"/>
    <w:link w:val="36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4"/>
    <w:link w:val="779"/>
    <w:uiPriority w:val="99"/>
  </w:style>
  <w:style w:type="character" w:styleId="45">
    <w:name w:val="Footer Char"/>
    <w:basedOn w:val="764"/>
    <w:link w:val="781"/>
    <w:uiPriority w:val="99"/>
  </w:style>
  <w:style w:type="paragraph" w:styleId="4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8">
    <w:name w:val="Table Grid"/>
    <w:basedOn w:val="7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4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4"/>
    <w:uiPriority w:val="99"/>
    <w:semiHidden/>
    <w:unhideWhenUsed/>
    <w:rPr>
      <w:vertAlign w:val="superscript"/>
    </w:rPr>
  </w:style>
  <w:style w:type="paragraph" w:styleId="181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pPr>
      <w:spacing w:after="200" w:line="276" w:lineRule="auto"/>
    </w:pPr>
  </w:style>
  <w:style w:type="paragraph" w:styleId="763">
    <w:name w:val="Heading 1"/>
    <w:basedOn w:val="762"/>
    <w:next w:val="762"/>
    <w:link w:val="77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>
    <w:name w:val="Balloon Text"/>
    <w:basedOn w:val="762"/>
    <w:link w:val="7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8" w:customStyle="1">
    <w:name w:val="Текст выноски Знак"/>
    <w:basedOn w:val="764"/>
    <w:link w:val="767"/>
    <w:uiPriority w:val="99"/>
    <w:semiHidden/>
    <w:rPr>
      <w:rFonts w:ascii="Segoe UI" w:hAnsi="Segoe UI" w:cs="Segoe UI"/>
      <w:sz w:val="18"/>
      <w:szCs w:val="18"/>
    </w:rPr>
  </w:style>
  <w:style w:type="paragraph" w:styleId="769">
    <w:name w:val="No Spacing"/>
    <w:uiPriority w:val="1"/>
    <w:qFormat/>
    <w:pPr>
      <w:spacing w:after="0" w:line="240" w:lineRule="auto"/>
    </w:pPr>
  </w:style>
  <w:style w:type="character" w:styleId="770" w:customStyle="1">
    <w:name w:val="Заголовок 1 Знак"/>
    <w:basedOn w:val="764"/>
    <w:link w:val="76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1">
    <w:name w:val="List Paragraph"/>
    <w:basedOn w:val="762"/>
    <w:uiPriority w:val="34"/>
    <w:qFormat/>
    <w:pPr>
      <w:contextualSpacing/>
      <w:ind w:left="720"/>
      <w:spacing w:after="160" w:line="256" w:lineRule="auto"/>
    </w:pPr>
  </w:style>
  <w:style w:type="character" w:styleId="772">
    <w:name w:val="Hyperlink"/>
    <w:basedOn w:val="764"/>
    <w:uiPriority w:val="99"/>
    <w:unhideWhenUsed/>
    <w:rPr>
      <w:color w:val="0563c1" w:themeColor="hyperlink"/>
      <w:u w:val="single"/>
    </w:rPr>
  </w:style>
  <w:style w:type="character" w:styleId="773">
    <w:name w:val="annotation reference"/>
    <w:basedOn w:val="764"/>
    <w:uiPriority w:val="99"/>
    <w:semiHidden/>
    <w:unhideWhenUsed/>
    <w:rPr>
      <w:sz w:val="16"/>
      <w:szCs w:val="16"/>
    </w:rPr>
  </w:style>
  <w:style w:type="paragraph" w:styleId="774">
    <w:name w:val="annotation text"/>
    <w:basedOn w:val="762"/>
    <w:link w:val="77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5" w:customStyle="1">
    <w:name w:val="Текст примечания Знак"/>
    <w:basedOn w:val="764"/>
    <w:link w:val="774"/>
    <w:uiPriority w:val="99"/>
    <w:semiHidden/>
    <w:rPr>
      <w:sz w:val="20"/>
      <w:szCs w:val="20"/>
    </w:rPr>
  </w:style>
  <w:style w:type="paragraph" w:styleId="776">
    <w:name w:val="annotation subject"/>
    <w:basedOn w:val="774"/>
    <w:next w:val="774"/>
    <w:link w:val="777"/>
    <w:uiPriority w:val="99"/>
    <w:semiHidden/>
    <w:unhideWhenUsed/>
    <w:rPr>
      <w:b/>
      <w:bCs/>
    </w:rPr>
  </w:style>
  <w:style w:type="character" w:styleId="777" w:customStyle="1">
    <w:name w:val="Тема примечания Знак"/>
    <w:basedOn w:val="775"/>
    <w:link w:val="776"/>
    <w:uiPriority w:val="99"/>
    <w:semiHidden/>
    <w:rPr>
      <w:b/>
      <w:bCs/>
      <w:sz w:val="20"/>
      <w:szCs w:val="20"/>
    </w:rPr>
  </w:style>
  <w:style w:type="character" w:styleId="778">
    <w:name w:val="Strong"/>
    <w:basedOn w:val="764"/>
    <w:uiPriority w:val="22"/>
    <w:qFormat/>
    <w:rPr>
      <w:b/>
      <w:bCs/>
    </w:rPr>
  </w:style>
  <w:style w:type="paragraph" w:styleId="779">
    <w:name w:val="Header"/>
    <w:basedOn w:val="762"/>
    <w:link w:val="7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64"/>
    <w:link w:val="779"/>
    <w:uiPriority w:val="99"/>
  </w:style>
  <w:style w:type="paragraph" w:styleId="781">
    <w:name w:val="Footer"/>
    <w:basedOn w:val="762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64"/>
    <w:link w:val="7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2025-02-21T01:43:12Z</dcterms:modified>
</cp:coreProperties>
</file>