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Внимание!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КоАП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РФ и ст. 178 УК РФ</w:t>
      </w:r>
      <w:proofErr w:type="gramEnd"/>
    </w:p>
    <w:p w:rsidR="0095485D" w:rsidRPr="0095485D" w:rsidRDefault="0095485D" w:rsidP="0095485D">
      <w:pPr>
        <w:shd w:val="clear" w:color="auto" w:fill="FFFFFF"/>
        <w:spacing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размещения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14.03.2025 10:09:29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ind w:left="768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версия 1, действующая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Способ определения поставщика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Электронный аукцион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извещения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5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0891200000625002149</w:t>
        </w:r>
      </w:hyperlink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Наименование объекта закупки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Выполнение работ по ремонту гравийного покрытия автомобильных дорог с.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Погадаево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протяженность 2096 м. (00002303-ЭА)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Идентификационный код закупки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253751800145475180100100100014211244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электронной площадки в сети Интернет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6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https://etpgpb.ru/</w:t>
        </w:r>
      </w:hyperlink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Печатная форма извещения в ЕИС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7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Перейти</w:t>
        </w:r>
      </w:hyperlink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Начальная (максимальная) цена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Размер обеспечения заявки на участие, </w:t>
      </w:r>
      <w:proofErr w:type="spell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38 360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.61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95485D" w:rsidRPr="0095485D" w:rsidRDefault="0095485D" w:rsidP="0095485D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Организация, осуществляющая размещение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Полное наименование организации</w:t>
      </w:r>
    </w:p>
    <w:p w:rsidR="0095485D" w:rsidRPr="0095485D" w:rsidRDefault="0095485D" w:rsidP="0095485D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8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Контактная информация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Контактное лицо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Притупова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Вера Александровна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Почтовый адрес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672010, Забайкальский край, Чита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АМУРСКАЯ, ДОМ 13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местонахождения организации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672010, Забайкальский край, Чита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АМУРСКАЯ, ДОМ 13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электронной почты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zabgoszakup.ser@yandex.ru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контактного телефона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7-3022-364277-5021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Факс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7-3022-310082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Дополнительная информация</w:t>
      </w:r>
    </w:p>
    <w:p w:rsidR="0095485D" w:rsidRPr="0095485D" w:rsidRDefault="0095485D" w:rsidP="0095485D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р-н, Приаргунск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УЛИЦА ЛЕНИНА, 6. Почтовый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адрес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:Р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оссийская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Федерация, 674310, Забайкальский край,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р-н, Приаргунск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ЛЕНИНА, 6. Телефон: 830-243-21165. Адрес электронной почты: zhkkh.priarghunsk@mail.ru Ответственное лицо: Коршунова Татьяна Олеговна.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Информация о процедуре проведения закупки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окончания срока подачи заявок на участие в процедуре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25.03.2025 07:00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начала подачи предложений о цене контракта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25.03.2025 09:00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подведения итогов</w:t>
      </w:r>
    </w:p>
    <w:p w:rsidR="0095485D" w:rsidRPr="0095485D" w:rsidRDefault="0095485D" w:rsidP="0095485D">
      <w:pPr>
        <w:shd w:val="clear" w:color="auto" w:fill="FFFFFF"/>
        <w:spacing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27.03.2025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lastRenderedPageBreak/>
        <w:t>Преимущества</w:t>
      </w:r>
    </w:p>
    <w:p w:rsidR="0095485D" w:rsidRPr="0095485D" w:rsidRDefault="0095485D" w:rsidP="0095485D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Преимущество в соответствии с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ч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3 ст. 30 Закона № 44-ФЗ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Требования</w:t>
      </w:r>
    </w:p>
    <w:p w:rsidR="0095485D" w:rsidRPr="0095485D" w:rsidRDefault="0095485D" w:rsidP="0095485D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Единые требования к участникам закупок в соответствии с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ч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1 ст. 31 Закона № 44-ФЗ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Требования к участникам закупок в соответствии с ч. 2 ст. 31 Закона № 44-ФЗ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Требование к участникам закупок в соответствии с п. 1 ч. 1 ст. 31 Закона № 44-ФЗ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Содержание требования: не установлено;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Дополнительные требования</w:t>
      </w:r>
    </w:p>
    <w:p w:rsidR="0095485D" w:rsidRPr="0095485D" w:rsidRDefault="0095485D" w:rsidP="0095485D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Требования в соответствии с позицией 18 раздела III приложения к ПП РФ от 29.12.2021 № 2571</w:t>
      </w: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Содержание требования: Наличие у участника закупки одного из следующих видов опыта выполнения работ: 1) опыт исполнения договора, предусматривающего выполнение работ по ремонту, содержанию автомобильной дороги; 2) опыт исполнения договора, предусматривающего выполнение работ по капитальному ремонту автомобильной дороги; 3) опыт исполнения договора строительного подряда, предусматривающего выполнение работ по строительству, реконструкции автомобильной дороги; 4) опыт выполнения участником закупки, являющимся застройщиком, работ по строительству, реконструкции автомобильной дороги. Цена выполненных работ по договорам, предусмотренным пунктами 1, 2 или 3 настоящей графы настоящей позиции, цена выполненных работ, предусмотренных пунктом 4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.И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нформация и документы, подтверждающие соответствие участников закупки дополнительным требованиям: в случае наличия опыта, предусмотренного пунктами 1 или 2 графы "Дополнительные требования к участникам закупки"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3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технической готовности линейного объекта инфраструктуры к временной эксплуатации. В случае наличия опыта, предусмотренного пунктом 4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Требования заказчиков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АДМИНИСТРАЦИЯ ПРИАРГУНСКОГО МУНИЦИПАЛЬНОГО ОКРУГА ЗАБАЙКАЛЬСКОГО КРАЯ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Полное наименование организации заказчика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9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Начальная (максимальная) цена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Идентификационный код закупки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253751800145475180100100100014211244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Места поставки товара, выполнения работы или оказания услуги</w:t>
      </w:r>
    </w:p>
    <w:p w:rsidR="0095485D" w:rsidRPr="0095485D" w:rsidRDefault="0095485D" w:rsidP="0095485D">
      <w:pPr>
        <w:numPr>
          <w:ilvl w:val="0"/>
          <w:numId w:val="1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край Забайкальский,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м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.о.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с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Погадаево</w:t>
      </w:r>
      <w:proofErr w:type="spellEnd"/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заявки на участие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Размер обеспечения, руб.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38 360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.61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Доля от начальной (максимальной) цены контракта, %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0.5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Реквизиты счета для учета операции со средствами, поступающими заказчику</w:t>
      </w:r>
    </w:p>
    <w:p w:rsidR="0095485D" w:rsidRPr="0095485D" w:rsidRDefault="0095485D" w:rsidP="0095485D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95485D" w:rsidRPr="0095485D" w:rsidRDefault="0095485D" w:rsidP="0095485D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95485D" w:rsidRPr="0095485D" w:rsidRDefault="0095485D" w:rsidP="0095485D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95485D" w:rsidRPr="0095485D" w:rsidRDefault="0095485D" w:rsidP="0095485D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Реквизиты счета для перечисления денежных сре</w:t>
      </w:r>
      <w:proofErr w:type="gram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сл</w:t>
      </w:r>
      <w:proofErr w:type="gramEnd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учае, предусмотренном частью 13 статьи 44 Федерального закона № 44-ФЗ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Реквизиты иного администратора дохода бюджета: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ИНН: 7518001454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КПП: 751801001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/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Приаргунск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связанного банковского счета: 40102810945370000063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казначейского счета: 03100643000000019100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95485D" w:rsidRPr="0095485D" w:rsidRDefault="0095485D" w:rsidP="0095485D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lastRenderedPageBreak/>
        <w:t>Порядок внесения денежных сре</w:t>
      </w:r>
      <w:proofErr w:type="gram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 даты окончания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исполнения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Размер обеспечения исполнения </w:t>
      </w:r>
      <w:proofErr w:type="spell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контракта,%</w:t>
      </w:r>
      <w:proofErr w:type="spellEnd"/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5.0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Платежные реквизиты</w:t>
      </w:r>
    </w:p>
    <w:p w:rsidR="0095485D" w:rsidRPr="0095485D" w:rsidRDefault="0095485D" w:rsidP="0095485D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95485D" w:rsidRPr="0095485D" w:rsidRDefault="0095485D" w:rsidP="0095485D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95485D" w:rsidRPr="0095485D" w:rsidRDefault="0095485D" w:rsidP="0095485D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95485D" w:rsidRPr="0095485D" w:rsidRDefault="0095485D" w:rsidP="0095485D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Порядок внесения денежных сре</w:t>
      </w:r>
      <w:proofErr w:type="gram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В случае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непредоставления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гарантийных обязательств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Размер обеспечения, руб.</w:t>
      </w:r>
    </w:p>
    <w:p w:rsidR="0095485D" w:rsidRPr="0095485D" w:rsidRDefault="0095485D" w:rsidP="0095485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76 721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.22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Доля от начальной (максимальной) цены контракта, %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Платежные реквизиты</w:t>
      </w:r>
    </w:p>
    <w:p w:rsidR="0095485D" w:rsidRPr="0095485D" w:rsidRDefault="0095485D" w:rsidP="0095485D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95485D" w:rsidRPr="0095485D" w:rsidRDefault="0095485D" w:rsidP="0095485D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95485D" w:rsidRPr="0095485D" w:rsidRDefault="0095485D" w:rsidP="0095485D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95485D" w:rsidRPr="0095485D" w:rsidRDefault="0095485D" w:rsidP="0095485D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Порядок внесения денежных сре</w:t>
      </w:r>
      <w:proofErr w:type="gram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 гарантийных обязательств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Сведения об общественном обсуждении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Сведения о плане-графике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Реестровый номер плана-графика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202501913000208001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Внешний номер позиции в плане-графике закупок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202501913000208001000010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Сроки исполнения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начала исполнения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Дата начала исполнения контракта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c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даты заключения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окончания исполнения контракта</w:t>
      </w:r>
    </w:p>
    <w:p w:rsidR="0095485D" w:rsidRPr="0095485D" w:rsidRDefault="0095485D" w:rsidP="0095485D">
      <w:pPr>
        <w:shd w:val="clear" w:color="auto" w:fill="FFFFFF"/>
        <w:spacing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31.12.2025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Информация об источниках финансирования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Текущий плановый год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Бюджетные средства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и наименование бюджета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lastRenderedPageBreak/>
        <w:t xml:space="preserve">91031774: Бюджет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Забайкальского края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по ОКТМО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муниципальный округ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текущий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первый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второй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последующие годы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Всего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Этапы исполнения контракта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Контракт не разделен на этапы исполнения контракта</w:t>
      </w:r>
    </w:p>
    <w:p w:rsidR="0095485D" w:rsidRPr="0095485D" w:rsidRDefault="0095485D" w:rsidP="0095485D">
      <w:pPr>
        <w:shd w:val="clear" w:color="auto" w:fill="FFFFFF"/>
        <w:spacing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начала исполнения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Дата начала исполнения контракта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c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даты заключения контракта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окончания исполнения контракта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31.12.2025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Исполнение контракта за счет бюджетных средств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бюджетной классификации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ОКС/ОНИ (КОКС)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текущий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первый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второй плановый год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последующие годы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Всего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90304090000031500244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95485D" w:rsidRPr="0095485D" w:rsidRDefault="0095485D" w:rsidP="0095485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Информация о бюджетном обязательстве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принимаемого бюджетного обязательства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763Q378225910000310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принимаемого бюджетного обязательства</w:t>
      </w:r>
    </w:p>
    <w:p w:rsidR="0095485D" w:rsidRPr="0095485D" w:rsidRDefault="0095485D" w:rsidP="0095485D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13.03.2025</w:t>
      </w:r>
    </w:p>
    <w:p w:rsidR="0095485D" w:rsidRPr="0095485D" w:rsidRDefault="0095485D" w:rsidP="0095485D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Требования к гарантии качества товара, работы, услуги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Срок, на который предоставляется гарантия</w:t>
      </w:r>
    </w:p>
    <w:p w:rsidR="0095485D" w:rsidRPr="0095485D" w:rsidRDefault="0095485D" w:rsidP="0095485D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 соответствии с проектом контракта</w:t>
      </w:r>
    </w:p>
    <w:p w:rsidR="0095485D" w:rsidRPr="0095485D" w:rsidRDefault="0095485D" w:rsidP="0095485D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95485D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Объект закупки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Информация о применении к закупке национального режима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отсутствует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Объектом закупки являются лекарственные препараты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95485D" w:rsidRPr="0095485D" w:rsidRDefault="0095485D" w:rsidP="0095485D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позиции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Наименование товара, работы или услуги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Единица измерения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Количество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Цена за единицу, </w:t>
      </w:r>
      <w:proofErr w:type="spell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Стоимость, </w:t>
      </w:r>
      <w:proofErr w:type="spellStart"/>
      <w:r w:rsidRPr="0095485D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95485D" w:rsidRPr="0095485D" w:rsidRDefault="0095485D" w:rsidP="009548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10" w:history="1"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42.11.20.200: Выполнение работ по ремонту гравийного покрытия автомобильных дорог с. </w:t>
        </w:r>
        <w:proofErr w:type="spellStart"/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Погадаево</w:t>
        </w:r>
        <w:proofErr w:type="spellEnd"/>
        <w:r w:rsidRPr="0095485D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 протяженность 2096 м.</w:t>
        </w:r>
      </w:hyperlink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Работа: Выполнение работ по ремонту гравийного покрытия автомобильных дорог с. </w:t>
      </w:r>
      <w:proofErr w:type="spellStart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Погадаево</w:t>
      </w:r>
      <w:proofErr w:type="spellEnd"/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протяженность 2096 м.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Условная единица</w:t>
      </w:r>
    </w:p>
    <w:p w:rsidR="0095485D" w:rsidRPr="0095485D" w:rsidRDefault="0095485D" w:rsidP="0095485D">
      <w:pPr>
        <w:numPr>
          <w:ilvl w:val="0"/>
          <w:numId w:val="6"/>
        </w:numPr>
        <w:shd w:val="clear" w:color="auto" w:fill="FFFFFF"/>
        <w:spacing w:after="0" w:line="192" w:lineRule="atLeast"/>
        <w:ind w:left="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1 - АДМИНИСТРАЦИЯ ПРИАРГУНСКОГО МУНИЦИПАЛЬНОГО ОКРУГА ЗАБАЙКАЛЬСКОГО КРАЯ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Итого: </w:t>
      </w:r>
    </w:p>
    <w:p w:rsidR="0095485D" w:rsidRPr="0095485D" w:rsidRDefault="0095485D" w:rsidP="0095485D">
      <w:pPr>
        <w:shd w:val="clear" w:color="auto" w:fill="FFFFFF"/>
        <w:spacing w:after="0" w:line="192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95485D">
        <w:rPr>
          <w:rFonts w:ascii="inherit" w:eastAsia="Times New Roman" w:hAnsi="inherit" w:cs="Arial"/>
          <w:color w:val="4B4B4B"/>
          <w:sz w:val="13"/>
          <w:lang w:eastAsia="ru-RU"/>
        </w:rPr>
        <w:t>7 672 121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.64</w:t>
      </w:r>
      <w:r w:rsidRPr="0095485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95485D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06C"/>
    <w:multiLevelType w:val="multilevel"/>
    <w:tmpl w:val="81C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C16DA"/>
    <w:multiLevelType w:val="multilevel"/>
    <w:tmpl w:val="A9BC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23EB3"/>
    <w:multiLevelType w:val="multilevel"/>
    <w:tmpl w:val="111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60ADF"/>
    <w:multiLevelType w:val="multilevel"/>
    <w:tmpl w:val="609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851785"/>
    <w:multiLevelType w:val="multilevel"/>
    <w:tmpl w:val="022C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FC685D"/>
    <w:multiLevelType w:val="multilevel"/>
    <w:tmpl w:val="701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5485D"/>
    <w:rsid w:val="006063D0"/>
    <w:rsid w:val="008846F4"/>
    <w:rsid w:val="0095485D"/>
    <w:rsid w:val="00A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95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48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4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95485D"/>
  </w:style>
  <w:style w:type="character" w:styleId="a3">
    <w:name w:val="Hyperlink"/>
    <w:basedOn w:val="a0"/>
    <w:uiPriority w:val="99"/>
    <w:semiHidden/>
    <w:unhideWhenUsed/>
    <w:rsid w:val="0095485D"/>
    <w:rPr>
      <w:color w:val="0000FF"/>
      <w:u w:val="single"/>
    </w:rPr>
  </w:style>
  <w:style w:type="character" w:customStyle="1" w:styleId="txt2wfao">
    <w:name w:val="txt__2wfao"/>
    <w:basedOn w:val="a0"/>
    <w:rsid w:val="0095485D"/>
  </w:style>
  <w:style w:type="character" w:customStyle="1" w:styleId="totaltitle3h7uz">
    <w:name w:val="totaltitle_3h7uz"/>
    <w:basedOn w:val="a0"/>
    <w:rsid w:val="00954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777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42323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472909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6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6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531326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22740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0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7156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75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0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6626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1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7970356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305521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658190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52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876264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9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22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86946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7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1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97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34202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5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9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10099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6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2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6083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4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5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66618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81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9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11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027787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293902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15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4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954334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9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59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55870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042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83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46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23470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57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6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95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480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875189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9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66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1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7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40299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3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2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30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21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26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9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1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64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918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13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52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61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8330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79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15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0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95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51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540283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5122">
                                  <w:marLeft w:val="0"/>
                                  <w:marRight w:val="0"/>
                                  <w:marTop w:val="192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3562408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8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4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9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1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016962">
                                          <w:marLeft w:val="0"/>
                                          <w:marRight w:val="0"/>
                                          <w:marTop w:val="192"/>
                                          <w:marBottom w:val="3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50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1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2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1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89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74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1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84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318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449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14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37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86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83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17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57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8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567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934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57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0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1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6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79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24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59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5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4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11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1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95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10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97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26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98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237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89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83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7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85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41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766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0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42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91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679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794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3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69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93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97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87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135195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4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3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7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175671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7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382553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916136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4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17696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9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5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91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8415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2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63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8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92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37234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75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31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34751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1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213039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4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9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3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1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24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9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74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9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4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45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3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4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EE9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0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21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891200000625002149" TargetMode="External"/><Relationship Id="rId10" Type="http://schemas.openxmlformats.org/officeDocument/2006/relationships/hyperlink" Target="https://gos.etpgpb.ru/front/procedure/view/bb7a581c-b0e0-469d-b7e1-d07aa9a6fd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2025-03-14T01:18:00Z</dcterms:created>
  <dcterms:modified xsi:type="dcterms:W3CDTF">2025-03-14T01:18:00Z</dcterms:modified>
</cp:coreProperties>
</file>