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A4" w:rsidRPr="00923E88" w:rsidRDefault="00A97DA4" w:rsidP="00A97D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E88">
        <w:rPr>
          <w:rFonts w:ascii="Times New Roman" w:hAnsi="Times New Roman" w:cs="Times New Roman"/>
          <w:b/>
          <w:bCs/>
          <w:sz w:val="28"/>
          <w:szCs w:val="28"/>
        </w:rPr>
        <w:t>ПРИАРГУНСКАЯ РАЙОННАЯ ТЕРРИТОРИАЛЬНАЯ ИЗБИРАТЕЛЬНАЯ КОМИССИЯ</w:t>
      </w:r>
      <w:r w:rsidRPr="00923E8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97DA4" w:rsidRPr="00923E88" w:rsidRDefault="00A97DA4" w:rsidP="00A97DA4">
      <w:pPr>
        <w:keepNext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3E8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A97DA4" w:rsidRPr="00923E88" w:rsidTr="009E6023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DA4" w:rsidRPr="00923E88" w:rsidRDefault="00A97DA4" w:rsidP="00A97DA4">
            <w:pPr>
              <w:tabs>
                <w:tab w:val="left" w:pos="-58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3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 июня 2025</w:t>
            </w:r>
            <w:r w:rsidR="00923E88" w:rsidRPr="00923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23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DA4" w:rsidRPr="00923E88" w:rsidRDefault="00A97DA4" w:rsidP="00A97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DA4" w:rsidRPr="00923E88" w:rsidRDefault="00A97DA4" w:rsidP="00A97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3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1</w:t>
            </w:r>
            <w:r w:rsidR="00C458CD" w:rsidRPr="00923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:rsidR="00A97DA4" w:rsidRPr="00923E88" w:rsidRDefault="00A97DA4" w:rsidP="00A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DA4" w:rsidRPr="00923E88" w:rsidRDefault="00A97DA4" w:rsidP="00A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88">
        <w:rPr>
          <w:rFonts w:ascii="Times New Roman" w:hAnsi="Times New Roman" w:cs="Times New Roman"/>
          <w:b/>
          <w:sz w:val="28"/>
          <w:szCs w:val="28"/>
        </w:rPr>
        <w:t>п. Приаргунск</w:t>
      </w:r>
    </w:p>
    <w:p w:rsidR="00A97DA4" w:rsidRPr="00923E88" w:rsidRDefault="00A97DA4" w:rsidP="00A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DA4" w:rsidRPr="00923E88" w:rsidRDefault="00A97DA4" w:rsidP="00A97D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t>Об утверждении Разъяснений порядка регистрации уполномоченных представителей кандидатов, избирательных объединений по финансовым вопросам при проведении выборов депутатов Приаргунского муниципального округа Забайкальского края второго созыва</w:t>
      </w:r>
    </w:p>
    <w:p w:rsidR="00A97DA4" w:rsidRPr="00923E88" w:rsidRDefault="00A97DA4" w:rsidP="00A97DA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18"/>
          <w:szCs w:val="18"/>
        </w:rPr>
      </w:pPr>
    </w:p>
    <w:p w:rsidR="00A97DA4" w:rsidRPr="00923E88" w:rsidRDefault="00A97DA4" w:rsidP="00A97DA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A97DA4" w:rsidRPr="00923E88" w:rsidRDefault="00A97DA4" w:rsidP="00A97DA4">
      <w:pPr>
        <w:spacing w:after="0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п. 15 ч. 1 ст. 34 Закона Забайкальского края от 06.07.2010 года № 385-ЗЗК «О муниципальных выборах в Забайкальском крае», </w:t>
      </w: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Приаргунская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 районная территориальная избирательная комиссия</w:t>
      </w:r>
    </w:p>
    <w:p w:rsidR="00A97DA4" w:rsidRPr="00923E88" w:rsidRDefault="00A97DA4" w:rsidP="00A97DA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97DA4" w:rsidRPr="00923E88" w:rsidRDefault="00A97DA4" w:rsidP="00A97DA4">
      <w:pPr>
        <w:spacing w:after="0"/>
        <w:ind w:firstLine="709"/>
        <w:jc w:val="center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постановляет:</w:t>
      </w:r>
    </w:p>
    <w:p w:rsidR="00A97DA4" w:rsidRPr="00923E88" w:rsidRDefault="00A97DA4" w:rsidP="00A97DA4">
      <w:pPr>
        <w:spacing w:after="0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1. Утвердить Разъяснения порядка регистрации уполномоченных представителей кандидатов, избирательных объединений по финансовым вопросам при проведении выборов депутатов Приаргунского муниципального округа Забайкальского края второго созыва (прилагается).</w:t>
      </w:r>
    </w:p>
    <w:p w:rsidR="00A97DA4" w:rsidRPr="00923E88" w:rsidRDefault="00A97DA4" w:rsidP="00A97DA4">
      <w:pPr>
        <w:pStyle w:val="a6"/>
        <w:spacing w:line="276" w:lineRule="auto"/>
        <w:ind w:firstLine="709"/>
      </w:pPr>
      <w:r w:rsidRPr="00923E88">
        <w:rPr>
          <w:szCs w:val="28"/>
        </w:rPr>
        <w:t xml:space="preserve">2. </w:t>
      </w:r>
      <w:r w:rsidRPr="00923E88">
        <w:t>Разместить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</w:t>
      </w:r>
      <w:proofErr w:type="gramStart"/>
      <w:r w:rsidRPr="00923E88">
        <w:t>».</w:t>
      </w:r>
      <w:proofErr w:type="gramEnd"/>
    </w:p>
    <w:p w:rsidR="00A97DA4" w:rsidRPr="00923E88" w:rsidRDefault="00A97DA4" w:rsidP="00A97D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97DA4" w:rsidRPr="00923E88" w:rsidRDefault="00A97DA4" w:rsidP="00A9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8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97DA4" w:rsidRPr="00923E88" w:rsidRDefault="00A97DA4" w:rsidP="00A9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88">
        <w:rPr>
          <w:rFonts w:ascii="Times New Roman" w:hAnsi="Times New Roman" w:cs="Times New Roman"/>
          <w:sz w:val="28"/>
          <w:szCs w:val="28"/>
        </w:rPr>
        <w:t>Приаргунской районной</w:t>
      </w:r>
    </w:p>
    <w:p w:rsidR="00A97DA4" w:rsidRPr="00923E88" w:rsidRDefault="00A97DA4" w:rsidP="00A9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8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923E88">
        <w:rPr>
          <w:rFonts w:ascii="Times New Roman" w:hAnsi="Times New Roman" w:cs="Times New Roman"/>
          <w:sz w:val="28"/>
          <w:szCs w:val="28"/>
        </w:rPr>
        <w:tab/>
      </w:r>
      <w:r w:rsidRPr="00923E88">
        <w:rPr>
          <w:rFonts w:ascii="Times New Roman" w:hAnsi="Times New Roman" w:cs="Times New Roman"/>
          <w:sz w:val="28"/>
          <w:szCs w:val="28"/>
        </w:rPr>
        <w:tab/>
      </w:r>
      <w:r w:rsidRPr="00923E88">
        <w:rPr>
          <w:rFonts w:ascii="Times New Roman" w:hAnsi="Times New Roman" w:cs="Times New Roman"/>
          <w:sz w:val="28"/>
          <w:szCs w:val="28"/>
        </w:rPr>
        <w:tab/>
        <w:t>А.Д. Белявский</w:t>
      </w:r>
    </w:p>
    <w:p w:rsidR="00A97DA4" w:rsidRPr="00923E88" w:rsidRDefault="00A97DA4" w:rsidP="00A9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DA4" w:rsidRPr="00923E88" w:rsidRDefault="00A97DA4" w:rsidP="00A9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88">
        <w:rPr>
          <w:rFonts w:ascii="Times New Roman" w:hAnsi="Times New Roman" w:cs="Times New Roman"/>
          <w:sz w:val="28"/>
          <w:szCs w:val="28"/>
        </w:rPr>
        <w:tab/>
        <w:t>Секретарь</w:t>
      </w:r>
    </w:p>
    <w:p w:rsidR="00A97DA4" w:rsidRPr="00923E88" w:rsidRDefault="00A97DA4" w:rsidP="00A9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88">
        <w:rPr>
          <w:rFonts w:ascii="Times New Roman" w:hAnsi="Times New Roman" w:cs="Times New Roman"/>
          <w:sz w:val="28"/>
          <w:szCs w:val="28"/>
        </w:rPr>
        <w:t>Приаргунской районной</w:t>
      </w:r>
    </w:p>
    <w:p w:rsidR="00A97DA4" w:rsidRPr="00923E88" w:rsidRDefault="00A97DA4" w:rsidP="00A9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8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923E88">
        <w:rPr>
          <w:rFonts w:ascii="Times New Roman" w:hAnsi="Times New Roman" w:cs="Times New Roman"/>
          <w:sz w:val="28"/>
          <w:szCs w:val="28"/>
        </w:rPr>
        <w:tab/>
      </w:r>
      <w:r w:rsidRPr="00923E88">
        <w:rPr>
          <w:rFonts w:ascii="Times New Roman" w:hAnsi="Times New Roman" w:cs="Times New Roman"/>
          <w:sz w:val="28"/>
          <w:szCs w:val="28"/>
        </w:rPr>
        <w:tab/>
      </w:r>
      <w:r w:rsidRPr="00923E88">
        <w:rPr>
          <w:rFonts w:ascii="Times New Roman" w:hAnsi="Times New Roman" w:cs="Times New Roman"/>
          <w:sz w:val="28"/>
          <w:szCs w:val="28"/>
        </w:rPr>
        <w:tab/>
        <w:t>Н.Н. Косых</w:t>
      </w:r>
    </w:p>
    <w:p w:rsidR="00A97DA4" w:rsidRPr="00923E88" w:rsidRDefault="00A97DA4" w:rsidP="00A97DA4">
      <w:r w:rsidRPr="00923E88">
        <w:br w:type="page"/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lastRenderedPageBreak/>
        <w:br w:type="textWrapping" w:clear="all"/>
      </w:r>
    </w:p>
    <w:p w:rsidR="00A97DA4" w:rsidRPr="00923E88" w:rsidRDefault="00A97DA4" w:rsidP="00A97DA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Приложение № 1</w:t>
      </w:r>
    </w:p>
    <w:p w:rsidR="00A97DA4" w:rsidRPr="00923E88" w:rsidRDefault="00A97DA4" w:rsidP="00A9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</w:t>
      </w:r>
    </w:p>
    <w:p w:rsidR="00A97DA4" w:rsidRPr="00923E88" w:rsidRDefault="00A97DA4" w:rsidP="00A9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Приаргунской  районной </w:t>
      </w:r>
    </w:p>
    <w:p w:rsidR="00A97DA4" w:rsidRPr="00923E88" w:rsidRDefault="00A97DA4" w:rsidP="00A9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территориальной избирательной </w:t>
      </w:r>
    </w:p>
    <w:p w:rsidR="00A97DA4" w:rsidRPr="00923E88" w:rsidRDefault="00A97DA4" w:rsidP="00A97DA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комиссии от 23.06.2025 года № 14</w:t>
      </w:r>
    </w:p>
    <w:p w:rsidR="00A97DA4" w:rsidRPr="00923E88" w:rsidRDefault="00A97DA4" w:rsidP="00A97DA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A97DA4" w:rsidRPr="00923E88" w:rsidRDefault="00A97DA4" w:rsidP="00A97DA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t>Разъяснения порядка регистрации</w:t>
      </w: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уполномоченных представителей кандидатов по финансовым вопросам при проведении выборов депутатов Приаргунского муниципального округа Забайкальского края второго созыва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23E88">
        <w:rPr>
          <w:rFonts w:ascii="Times New Roman" w:eastAsia="Times New Roman" w:hAnsi="Times New Roman" w:cs="Times New Roman"/>
          <w:sz w:val="27"/>
          <w:szCs w:val="27"/>
        </w:rPr>
        <w:t>Разъяснения порядка регистрации уполномоченных представителей кандидатов по финансовым вопросам при проведении выборов депутатов Приаргунского муниципального округа Забайкальского края второго созыва (далее  –  Разъяснения) разработаны в соответствии со статьей 58 Федерального закона от 12.06.2002 № 67 "Об основных гарантиях избирательных прав и права на участие в референдуме граждан Российской Федерации", п. 15 ч. 1 ст. 34 Закона Забайкальского края от 06.07.2010 года № 385-ЗЗК</w:t>
      </w:r>
      <w:proofErr w:type="gram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«О муниципальных выборах в Забайкальском крае».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1.  Кандидат, выдвинутый по </w:t>
      </w: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многомандатному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избирательному округу (далее – кандидат), вправе назначить своего уполномоченного представителя по финансовым вопросам (далее – уполномоченный представитель кандидата по финансовым вопросам).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2.  Уполномоченный представитель кандидата по финансовым вопросам осуществляет свои полномочия на основании нотариально удостоверенной доверенности, выданной кандидатом.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Доверенность выдается без права передоверия другим лицам.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Пример отражения требуемых сведений в доверенностях приведен в приложении №  1 к Разъяснениям.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3.  Уполномоченные представители кандидатов по финансовым вопросам (далее – уполномоченные представители по финансовым вопросам) действуют в пределах предоставленных им полномочий в соответствии с требованиями законодательства Российской Федерации, Забайкальского края и нормативными актами Избирательной комиссии Забайкальского края, настоящего Разъяснения.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4.  На основании письменного заявления кандидата и нотариально удостоверенной доверенности, выдаваемой кандидатом соответственно уполномоченному представителю кандидата по финансовым вопросам, в перечне полномочий в обязательном порядке указывается, что он имеет право подписи платежных (расчетных) документов.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Также в перечень указываемых в нотариально удостоверенной доверенности полномочий уполномоченных представителей по финансовым вопросам могут входить: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а) открытие специального избирательного счета;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б) внесение на специальный избирательный счет собственных средств кандидата;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в)  </w:t>
      </w:r>
      <w:proofErr w:type="gramStart"/>
      <w:r w:rsidRPr="00923E88">
        <w:rPr>
          <w:rFonts w:ascii="Times New Roman" w:eastAsia="Times New Roman" w:hAnsi="Times New Roman" w:cs="Times New Roman"/>
          <w:sz w:val="27"/>
          <w:szCs w:val="27"/>
        </w:rPr>
        <w:t>распоряжение</w:t>
      </w:r>
      <w:proofErr w:type="gram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денежными средствами избирательного фонда, включая выдачу распоряжений о переводе денежных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г)  учет денежных средств избирательного фонда, включая получение в филиале публичного акционерного общества «Сбербанк России», в котором кандидатом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)  </w:t>
      </w:r>
      <w:proofErr w:type="gramStart"/>
      <w:r w:rsidRPr="00923E88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поступлением и расходованием денежных средств избирательного фонда, возврат (перечисление в доход краевого бюджета) пожертвований, поступивших с нарушением установленного порядка;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е)  представление в избирательную комиссию финансового отчета (первого, итогового)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ж) закрытие специального избирательного счета;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>)  право заключения и расторжения договоров, связанных с финансированием избирательной кампании;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и)  контроль за своевременным и надлежащим оформлением первичных финансовых (учетных, расчетных) документов, а также за законностью совершаемых финансовых операций;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к)  право представления кандидата в соответствующих избирательных комиссиях, судах и других государственных и муниципальных органах и организациях.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В доверенности могут быть указаны иные полномочия, касающиеся деятельности кандидата по финансированию своей избирательной кампании. Не указанные в доверенности полномочия считаются не порученными.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Срок действия доверенности не должен превышать срок полномочий уполномоченных представителей по финансовым вопросам.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5. В </w:t>
      </w: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Приаргунскойрайонной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территориальной избирательной комиссии в присутствии уполномоченного представителя кандидата по финансовым вопросам изготавливаются </w:t>
      </w:r>
      <w:proofErr w:type="gramStart"/>
      <w:r w:rsidRPr="00923E88">
        <w:rPr>
          <w:rFonts w:ascii="Times New Roman" w:eastAsia="Times New Roman" w:hAnsi="Times New Roman" w:cs="Times New Roman"/>
          <w:sz w:val="27"/>
          <w:szCs w:val="27"/>
        </w:rPr>
        <w:t>копии</w:t>
      </w:r>
      <w:proofErr w:type="gram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представленной нотариально удостоверенной доверенности уполномоченного представителя кандидата по финансовым вопросам, паспорта или документа, заменяющего паспорт гражданина, уполномоченного представителя кандидата по финансовым вопросам и заверяются подписью лица, принявшего документы.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6.  </w:t>
      </w: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Приаргунская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районная территориальная избирательная комиссии осуществляют регистрацию уполномоченных представителей кандидатов по финансовым вопросам на основании следующих документов:</w:t>
      </w:r>
    </w:p>
    <w:p w:rsidR="00A97DA4" w:rsidRPr="00923E88" w:rsidRDefault="00A97DA4" w:rsidP="00A97DA4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-уведомления кандидата о назначении уполномоченного представителя по финансовым вопросам;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- нотариально удостоверенной доверенности на уполномоченного представителя кандидата по финансовым вопросам;</w:t>
      </w:r>
    </w:p>
    <w:p w:rsidR="00A97DA4" w:rsidRPr="00923E88" w:rsidRDefault="00A97DA4" w:rsidP="00A97DA4">
      <w:pPr>
        <w:spacing w:after="0" w:line="270" w:lineRule="atLeast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lastRenderedPageBreak/>
        <w:t>- заявления уполномоченного представителя по финансовым вопросам о согласии осуществлять указанную деятельность.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При представлении документов для регистрации уполномоченным представителем кандидата по финансовым вопросам предъявляется паспорт или документ, заменяющий паспорт гражданина.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Праргунская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районная территориальная избирательная комиссии в трехдневный срок рассматривает представленные документы и принимает решение о регистрации (об отказе в регистрации) уполномоченного представителя кандидата по финансовым вопросам, которое оформляется соответствующим решением.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23E88">
        <w:rPr>
          <w:rFonts w:ascii="Times New Roman" w:eastAsia="Times New Roman" w:hAnsi="Times New Roman" w:cs="Times New Roman"/>
          <w:sz w:val="27"/>
          <w:szCs w:val="27"/>
        </w:rPr>
        <w:t>Основаниями для отказа в регистрации уполномоченного представителя кандидата по финансовым вопросам являются: отсутствие гражданства Российской Федерации, наличие гражданства иностранного государства, возраст к моменту назначения менее 18 лет, наличие вступившего в законную силу решения суда о признании гражданина Российской Федерации недееспособным, содержание в местах лишения свободы по приговору суда, отсутствие необходимых документов, представление документов, оформленных с нарушением законодательства Российской Федерации о</w:t>
      </w:r>
      <w:proofErr w:type="gram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23E88">
        <w:rPr>
          <w:rFonts w:ascii="Times New Roman" w:eastAsia="Times New Roman" w:hAnsi="Times New Roman" w:cs="Times New Roman"/>
          <w:sz w:val="27"/>
          <w:szCs w:val="27"/>
        </w:rPr>
        <w:t>выборах</w:t>
      </w:r>
      <w:proofErr w:type="gram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или содержащих недостоверные данные. Уполномоченные представители кандидатов по финансовым вопросам не могут быть членами комиссий с правом решающего голоса на текущих выборах.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Праргунской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районной территориальной избирательной комиссии на основании решения о регистрации уполномоченного представителя кандидата по финансовым вопросам выдает удостоверение установленной формы (приложение №  2 к Разъяснениям).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23E88">
        <w:rPr>
          <w:rFonts w:ascii="Times New Roman" w:eastAsia="Times New Roman" w:hAnsi="Times New Roman" w:cs="Times New Roman"/>
          <w:sz w:val="27"/>
          <w:szCs w:val="27"/>
        </w:rPr>
        <w:t>В удостоверении указываются фамилия, имя, отчество уполномоченного представителя кандидата по финансовым вопросам, фамилия, инициалы кандидата, назначившего уполномоченного представителя по финансовым вопросам, дата регистрации уполномоченного представителя кандидата по финансовым вопросам, номер, срок и условия действия удостоверения, инициалы, фамилия председателя Приаргунской районной территориальной избирательной комиссии, зарегистрировавшей уполномоченного представителя кандидата по финансовым вопросам, а также ставится его подпись, которая скрепляется круглой печатью Приаргунской</w:t>
      </w:r>
      <w:proofErr w:type="gram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районной территориальной избирательной комиссии установленного образца.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7.  Уполномоченные представители по финансовым вопросам не вправе использовать преимущества своего должностного или служебного положения.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8.  Срок полномочий уполномоченных представителей по финансовым вопросам начинается со дня их назначения и истекает через 60 дней со дня голосования, а в случае если ведется судебное разбирательство с участием назначившего их избирательного объединения, назначившего его кандидата, – со дня, следующего за днем вступления в законную силу судебного решения.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9. Кандидат вправе в любое время прекратить полномочия своего уполномоченного представителя по финансовым вопросам, письменно известив его об этом и представив письменное заявление в </w:t>
      </w: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Приаргунскую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районную территориальную избирательную комиссию. Копия указанного заявления </w:t>
      </w:r>
      <w:r w:rsidRPr="00923E88">
        <w:rPr>
          <w:rFonts w:ascii="Times New Roman" w:eastAsia="Times New Roman" w:hAnsi="Times New Roman" w:cs="Times New Roman"/>
          <w:sz w:val="27"/>
          <w:szCs w:val="27"/>
        </w:rPr>
        <w:lastRenderedPageBreak/>
        <w:t>одновременно направляется кандидатом в соответствующий филиал публичного акционерного общества «Сбербанк России», в котором кандидат открыл специальный избирательный счет для формирования своего избирательного фонда.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Приаргунская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районная территориальная избирательная комиссия с учетом полученных документов информирует соответствующий филиал публичного акционерного общества «Сбербанк России» о принятом решении прекратить полномочия уполномоченного представителя по финансовым вопросам с указанием даты прекращения полномочий.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10. Регистрация вновь назначенного уполномоченного представителя кандидата по финансовым вопросам осуществляется в порядке, предусмотренном соответственно пунктом 6 Разъяснения.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11.  За нарушения законодательства Российской </w:t>
      </w:r>
      <w:proofErr w:type="gramStart"/>
      <w:r w:rsidRPr="00923E88"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proofErr w:type="gram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уполномоченные представители по финансовым вопросам (в случае утраты статуса уполномоченного представителя по финансовым вопросам – граждане, являвшиеся уполномоченными представителями по финансовым вопросам) несут ответственность в порядке, предусмотренном законодательством Российской Федерации.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12.  Удостоверения формируются размером 120  </w:t>
      </w: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х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>  80  мм на бланке с использованием Государственной автоматизированной системы Российской Федерации «Выборы» и действительны при предъявлении уполномоченным представителем по финансовым вопросам паспорта гражданина Российской Федерации или заменяющего его документа.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Лица, имеющие удостоверения, обязаны обеспечить их сохранность.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В случае, указанном в пункте 8 Разъяснений, срок действия удостоверения может быть продлен на 30 дней при предоставлении в </w:t>
      </w: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Приаргунскую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районную территориальную избирательную комиссию копий документов, подтверждающих начало судебного разбирательства. По истечении 30 дней действие удостоверения может пролонгироваться при предоставлении уведомлений о ходе судебного разбирательства (в свободной форме за подписью уполномоченного представителя по финансовым вопросам с приложением подтверждающих документов) и до вступления в законную силу судебного решения.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Решение о продлении срока действия удостоверения, принятое на основании представленных в </w:t>
      </w:r>
      <w:proofErr w:type="spellStart"/>
      <w:r w:rsidRPr="00923E88">
        <w:rPr>
          <w:rFonts w:ascii="Times New Roman" w:eastAsia="Times New Roman" w:hAnsi="Times New Roman" w:cs="Times New Roman"/>
          <w:sz w:val="27"/>
          <w:szCs w:val="27"/>
        </w:rPr>
        <w:t>Приаргунскую</w:t>
      </w:r>
      <w:proofErr w:type="spellEnd"/>
      <w:r w:rsidRPr="00923E88">
        <w:rPr>
          <w:rFonts w:ascii="Times New Roman" w:eastAsia="Times New Roman" w:hAnsi="Times New Roman" w:cs="Times New Roman"/>
          <w:sz w:val="27"/>
          <w:szCs w:val="27"/>
        </w:rPr>
        <w:t xml:space="preserve"> районную территориальную избирательную комиссию документов, выдается соответствующему уполномоченному представителю по финансовым вопросам.</w:t>
      </w:r>
    </w:p>
    <w:p w:rsidR="00A97DA4" w:rsidRPr="00923E88" w:rsidRDefault="00A97DA4" w:rsidP="00A97DA4">
      <w:pPr>
        <w:spacing w:after="0" w:line="270" w:lineRule="atLeast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13.  В случае прекращения полномочий уполномоченного представителя по финансовым вопросам удостоверение подлежит возврату по месту выдачи.</w:t>
      </w:r>
      <w:r w:rsidRPr="00923E88">
        <w:rPr>
          <w:rFonts w:ascii="Times New Roman" w:eastAsia="Times New Roman" w:hAnsi="Times New Roman" w:cs="Times New Roman"/>
          <w:sz w:val="27"/>
          <w:szCs w:val="27"/>
        </w:rPr>
        <w:br w:type="textWrapping" w:clear="all"/>
      </w:r>
    </w:p>
    <w:tbl>
      <w:tblPr>
        <w:tblW w:w="8931" w:type="dxa"/>
        <w:tblCellMar>
          <w:left w:w="0" w:type="dxa"/>
          <w:right w:w="0" w:type="dxa"/>
        </w:tblCellMar>
        <w:tblLook w:val="04A0"/>
      </w:tblPr>
      <w:tblGrid>
        <w:gridCol w:w="4094"/>
        <w:gridCol w:w="4837"/>
      </w:tblGrid>
      <w:tr w:rsidR="00A97DA4" w:rsidRPr="00923E88" w:rsidTr="00A97DA4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Приложение №  1</w:t>
            </w: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к Порядку регистрации уполномоченных представителей кандидатов по финансовым вопросам при проведении выборов депутатов Приаргунского муниципального округа Забайкальского края второго созыва</w:t>
            </w: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A97DA4" w:rsidRPr="00923E88" w:rsidRDefault="00A97DA4" w:rsidP="00A97DA4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lastRenderedPageBreak/>
        <w:t> </w:t>
      </w:r>
    </w:p>
    <w:p w:rsidR="00A97DA4" w:rsidRPr="00923E88" w:rsidRDefault="00A97DA4" w:rsidP="00A97DA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 отражения требуемых сведений в доверенности</w:t>
      </w:r>
    </w:p>
    <w:tbl>
      <w:tblPr>
        <w:tblW w:w="8931" w:type="dxa"/>
        <w:tblCellMar>
          <w:left w:w="0" w:type="dxa"/>
          <w:right w:w="0" w:type="dxa"/>
        </w:tblCellMar>
        <w:tblLook w:val="04A0"/>
      </w:tblPr>
      <w:tblGrid>
        <w:gridCol w:w="8931"/>
      </w:tblGrid>
      <w:tr w:rsidR="00A97DA4" w:rsidRPr="00923E88" w:rsidTr="00A97DA4">
        <w:tc>
          <w:tcPr>
            <w:tcW w:w="9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Я, гражданин Российской Федерации ФИО, «__» _____ ___ года рождения, место рождения: город ____ _____ области, адрес места жительства: _____  область, _______ район, город ______, улица ______, дом №, корпус  №, квартира №, паспорт 00 </w:t>
            </w:r>
            <w:proofErr w:type="spellStart"/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  <w:proofErr w:type="spellEnd"/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  000000, выдан «__» ______ ___ года отделом УФМС России, код подразделения: 000-000</w:t>
            </w:r>
            <w:proofErr w:type="gramEnd"/>
          </w:p>
        </w:tc>
      </w:tr>
      <w:tr w:rsidR="00A97DA4" w:rsidRPr="00923E88" w:rsidTr="00A97DA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(гражданство, фамилия, имя, отчество, дата и место рождения, адрес места жительства: наименование субъекта Российской Федерации, района, города, иного населенного пункта, улицы, номер дома, корпуса, строения и т.п., квартиры, вид документа: серия и номер, дата выдачи, наименование и код подразделения, выдавшего паспорт или документ,</w:t>
            </w: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br/>
              <w:t>заменяющий паспорт гражданина Российской Федерации)</w:t>
            </w:r>
            <w:proofErr w:type="gramEnd"/>
          </w:p>
        </w:tc>
      </w:tr>
      <w:tr w:rsidR="00A97DA4" w:rsidRPr="00923E88" w:rsidTr="00A97DA4">
        <w:tc>
          <w:tcPr>
            <w:tcW w:w="9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настоящей доверенностью уполномочиваю:</w:t>
            </w:r>
          </w:p>
        </w:tc>
      </w:tr>
      <w:tr w:rsidR="00A97DA4" w:rsidRPr="00923E88" w:rsidTr="00A97DA4">
        <w:tc>
          <w:tcPr>
            <w:tcW w:w="9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гражданина Российской Федерации ФИО, «__» _____ ___ года рождения, место рождения: город ____ _____ области, адрес места жительства: _____  область, _______ район, город ______, улица ______, дом №, корпус  №, квартира №, паспорт 00 </w:t>
            </w:r>
            <w:proofErr w:type="spellStart"/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  <w:proofErr w:type="spellEnd"/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  000000, выдан «__» ______ ___ года отделом УФМС России, код подразделения: 000-000                                      </w:t>
            </w:r>
            <w:proofErr w:type="gramEnd"/>
          </w:p>
        </w:tc>
      </w:tr>
      <w:tr w:rsidR="00A97DA4" w:rsidRPr="00923E88" w:rsidTr="00A97DA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(гражданство, фамилия, имя, отчество, дата и место рождения, адрес места жительства: наименование субъекта Российской Федерации, района, города, иного населенного пункта, улицы, номер дома, корпуса, строения и т.п., квартиры, вид документа: серия и номер, дата выдачи, наименование и код подразделения, выдавшего паспорт или документ,</w:t>
            </w: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br/>
              <w:t>заменяющий паспорт гражданина Российской Федерации)</w:t>
            </w:r>
            <w:proofErr w:type="gramEnd"/>
          </w:p>
        </w:tc>
      </w:tr>
    </w:tbl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быть моим уполномоченным представителем по финансовым вопросам, связанным с участием в выборах депутатов Совета первого созыва Приаргунского муниципального округа и совершать все необходимые действия в пределах указанных полномочий: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право подписи платежных (расчетных) документов;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открытие специального избирательного счета;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внесение на специальный избирательный счет собственных средств кандидата;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представление в избирательную комиссию первого, итогового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закрытие специального избирательного счета 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Оттиск печати для финансовых документов кандидата (в случае ее наличия).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lastRenderedPageBreak/>
        <w:t> </w:t>
      </w:r>
    </w:p>
    <w:p w:rsidR="00A97DA4" w:rsidRPr="00923E88" w:rsidRDefault="00A97DA4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br w:type="textWrapping" w:clear="all"/>
      </w:r>
    </w:p>
    <w:tbl>
      <w:tblPr>
        <w:tblW w:w="879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842"/>
        <w:gridCol w:w="4950"/>
      </w:tblGrid>
      <w:tr w:rsidR="00A97DA4" w:rsidRPr="00923E88" w:rsidTr="00A97DA4">
        <w:trPr>
          <w:trHeight w:val="2345"/>
        </w:trPr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2</w:t>
            </w: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к Порядку регистрации уполномоченных представителей кандидатов по финансовым вопросам при проведении выборов депутатов Приаргунского муниципального округа Забайкальского края второго созыва</w:t>
            </w:r>
          </w:p>
          <w:p w:rsidR="00A97DA4" w:rsidRPr="00923E88" w:rsidRDefault="00A97DA4" w:rsidP="00A97DA4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A97DA4" w:rsidRPr="00923E88" w:rsidRDefault="00A97DA4" w:rsidP="00A97DA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97DA4" w:rsidRPr="00923E88" w:rsidRDefault="00A97DA4" w:rsidP="00A97DA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 удостоверения</w:t>
      </w:r>
      <w:r w:rsidRPr="00923E8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уполномоченного представителя кандидата по финансовым вопросам при проведении выборов депутатов Приаргунского муниципального округа Забайкальского края второго созыва</w:t>
      </w:r>
    </w:p>
    <w:p w:rsidR="00A97DA4" w:rsidRPr="00923E88" w:rsidRDefault="00A97DA4" w:rsidP="00A97DA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/>
      </w:tblPr>
      <w:tblGrid>
        <w:gridCol w:w="3068"/>
        <w:gridCol w:w="1751"/>
        <w:gridCol w:w="3368"/>
      </w:tblGrid>
      <w:tr w:rsidR="00A97DA4" w:rsidRPr="00923E88" w:rsidTr="00A97DA4">
        <w:trPr>
          <w:trHeight w:val="2900"/>
        </w:trPr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Выборы депутатов Совета первого созыва </w:t>
            </w:r>
            <w:proofErr w:type="spellStart"/>
            <w:r w:rsidRPr="00923E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Краснокаменского</w:t>
            </w:r>
            <w:proofErr w:type="spellEnd"/>
            <w:r w:rsidRPr="00923E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муниципального округа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Д О С Т О В Е </w:t>
            </w:r>
            <w:proofErr w:type="gramStart"/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Е Н И Е № ____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_______________________________________________________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(фамилия)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______________________________________________________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(имя, отчество)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уполномоченный представитель кандидата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_______________________________________________________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(фамилия, инициалы кандидата)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по финансовым вопросам</w:t>
            </w:r>
          </w:p>
        </w:tc>
      </w:tr>
      <w:tr w:rsidR="00A97DA4" w:rsidRPr="00923E88" w:rsidTr="00A97DA4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Председатель Приаргунской районной территориальной избирательной комиссии</w:t>
            </w:r>
          </w:p>
          <w:p w:rsidR="00A97DA4" w:rsidRPr="00923E88" w:rsidRDefault="00A97DA4" w:rsidP="00A9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    МП</w:t>
            </w:r>
          </w:p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              ____________________</w:t>
            </w:r>
          </w:p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                  (подпись, инициалы, фамилия)</w:t>
            </w:r>
          </w:p>
        </w:tc>
      </w:tr>
      <w:tr w:rsidR="00A97DA4" w:rsidRPr="00923E88" w:rsidTr="00A97DA4">
        <w:trPr>
          <w:trHeight w:val="553"/>
        </w:trPr>
        <w:tc>
          <w:tcPr>
            <w:tcW w:w="43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Действительно до «___» __2025г*.</w:t>
            </w:r>
          </w:p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(при предъявлении паспорта или заменяющего его документа)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</w:t>
            </w:r>
          </w:p>
          <w:p w:rsidR="00A97DA4" w:rsidRPr="00923E88" w:rsidRDefault="00A97DA4" w:rsidP="00A97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   (дата регистрации)</w:t>
            </w:r>
          </w:p>
        </w:tc>
      </w:tr>
      <w:tr w:rsidR="00A97DA4" w:rsidRPr="00923E88" w:rsidTr="00A97DA4">
        <w:trPr>
          <w:trHeight w:val="150"/>
        </w:trPr>
        <w:tc>
          <w:tcPr>
            <w:tcW w:w="70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A4" w:rsidRPr="00923E88" w:rsidRDefault="00A97DA4" w:rsidP="00A97DA4">
            <w:pPr>
              <w:spacing w:after="0" w:line="15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*Продлевается в случае, предусмотренном </w:t>
            </w:r>
            <w:proofErr w:type="gramStart"/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ч</w:t>
            </w:r>
            <w:proofErr w:type="gramEnd"/>
            <w:r w:rsidRPr="00923E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.12ст.71 Федерального закона от 22.02.2014 №20- ФЗ</w:t>
            </w:r>
          </w:p>
        </w:tc>
      </w:tr>
      <w:tr w:rsidR="00A97DA4" w:rsidRPr="00923E88" w:rsidTr="00A97DA4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DA4" w:rsidRPr="00923E88" w:rsidRDefault="00A97DA4" w:rsidP="00A97DA4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DA4" w:rsidRPr="00923E88" w:rsidRDefault="00A97DA4" w:rsidP="00A97DA4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DA4" w:rsidRPr="00923E88" w:rsidRDefault="00A97DA4" w:rsidP="00A97DA4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23E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A97DA4" w:rsidRPr="00923E88" w:rsidRDefault="00A97DA4" w:rsidP="00A97DA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Times New Roman" w:eastAsia="Times New Roman" w:hAnsi="Times New Roman" w:cs="Times New Roman"/>
          <w:sz w:val="27"/>
          <w:szCs w:val="27"/>
        </w:rPr>
        <w:t>                                                                              </w:t>
      </w:r>
    </w:p>
    <w:p w:rsidR="00A97DA4" w:rsidRPr="00923E88" w:rsidRDefault="00A97DA4" w:rsidP="00A97DA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Arial" w:eastAsia="Times New Roman" w:hAnsi="Arial" w:cs="Arial"/>
          <w:sz w:val="18"/>
          <w:szCs w:val="18"/>
        </w:rPr>
        <w:br w:type="textWrapping" w:clear="all"/>
      </w:r>
    </w:p>
    <w:p w:rsidR="00A97DA4" w:rsidRPr="00923E88" w:rsidRDefault="003F1C02" w:rsidP="00A97DA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23E88">
        <w:rPr>
          <w:rFonts w:ascii="Arial" w:eastAsia="Times New Roman" w:hAnsi="Arial" w:cs="Arial"/>
          <w:sz w:val="18"/>
          <w:szCs w:val="18"/>
        </w:rPr>
        <w:pict>
          <v:rect id="_x0000_i1025" style="width:154.35pt;height:.75pt" o:hrpct="330" o:hrstd="t" o:hr="t" fillcolor="#a0a0a0" stroked="f"/>
        </w:pict>
      </w:r>
    </w:p>
    <w:p w:rsidR="00A97DA4" w:rsidRPr="00923E88" w:rsidRDefault="003F1C02" w:rsidP="00A97D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hyperlink r:id="rId4" w:history="1">
        <w:r w:rsidR="00A97DA4" w:rsidRPr="00923E88">
          <w:rPr>
            <w:rFonts w:ascii="Times New Roman" w:eastAsia="Times New Roman" w:hAnsi="Times New Roman" w:cs="Times New Roman"/>
            <w:sz w:val="27"/>
          </w:rPr>
          <w:t> </w:t>
        </w:r>
      </w:hyperlink>
    </w:p>
    <w:p w:rsidR="00774925" w:rsidRPr="00923E88" w:rsidRDefault="00774925" w:rsidP="00A97DA4">
      <w:pPr>
        <w:spacing w:after="0"/>
      </w:pPr>
    </w:p>
    <w:sectPr w:rsidR="00774925" w:rsidRPr="00923E88" w:rsidSect="0077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97DA4"/>
    <w:rsid w:val="003F1C02"/>
    <w:rsid w:val="00774925"/>
    <w:rsid w:val="00923E88"/>
    <w:rsid w:val="00A97DA4"/>
    <w:rsid w:val="00C4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7DA4"/>
    <w:rPr>
      <w:color w:val="0000FF"/>
      <w:u w:val="single"/>
    </w:rPr>
  </w:style>
  <w:style w:type="paragraph" w:customStyle="1" w:styleId="a5">
    <w:name w:val="a"/>
    <w:basedOn w:val="a"/>
    <w:rsid w:val="00A9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A97DA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97DA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%3Ca%20href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2304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DNS</cp:lastModifiedBy>
  <cp:revision>4</cp:revision>
  <dcterms:created xsi:type="dcterms:W3CDTF">2025-07-12T09:24:00Z</dcterms:created>
  <dcterms:modified xsi:type="dcterms:W3CDTF">2025-07-14T00:18:00Z</dcterms:modified>
</cp:coreProperties>
</file>