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АЗБУКА</w:t>
      </w:r>
      <w:r>
        <w:rPr>
          <w:rFonts w:ascii="Tinos" w:hAnsi="Tinos" w:eastAsia="Tinos" w:cs="Tinos"/>
          <w:sz w:val="28"/>
          <w:szCs w:val="28"/>
        </w:rPr>
        <w:t xml:space="preserve"> Росреестра: Размер доли в праве или Балло-гектары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Style w:val="965"/>
          <w:rFonts w:ascii="Tinos" w:hAnsi="Tinos" w:cs="Tinos"/>
          <w:b w:val="0"/>
          <w:i w:val="0"/>
          <w:iCs w:val="0"/>
          <w:sz w:val="28"/>
          <w:szCs w:val="28"/>
        </w:rPr>
      </w:pP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</w:r>
      <w:r>
        <w:rPr>
          <w:rStyle w:val="965"/>
          <w:rFonts w:ascii="Tinos" w:hAnsi="Tinos" w:cs="Tinos"/>
          <w:b w:val="0"/>
          <w:i w:val="0"/>
          <w:iCs w:val="0"/>
          <w:sz w:val="28"/>
          <w:szCs w:val="28"/>
        </w:rPr>
      </w:r>
      <w:r>
        <w:rPr>
          <w:rStyle w:val="965"/>
          <w:rFonts w:ascii="Tinos" w:hAnsi="Tinos" w:cs="Tinos"/>
          <w:b w:val="0"/>
          <w:i w:val="0"/>
          <w:iCs w:val="0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  <w:t xml:space="preserve">Орган местного самоуправления (ОМС) поселения, муниципального округа или городского округа по месту расположения земельного участка из земель сельскохозяйственного назначения, находящ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егося в общей долевой собственности,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</w:rPr>
        <w:t xml:space="preserve">с 01 марта 2025 года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определяет размеры земельных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долей, выраженные в гектарах или балло-гектарах, в виде простой правильной дроби в соответствии с порядком,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установленным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постановлением Правительства Российской Федерации от 16.09.2020 № 1475.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  <w:t xml:space="preserve">Результаты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определения размеров долей в праве общей долевой собственности на земельный участок из земель сельскохозяйственного назначения, выраженных в гектарах или балло-гектарах, в виде простой правильной дроби утверждаются решением ОМС.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  <w:t xml:space="preserve">Указанное решение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опубликовывается в трехдневный срок с даты его принятия ОМС в средствах массовой информации, определенных субъектом Российской Федерации, и размещается на официальном сайте этого органа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в се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ти "Интернет" (при его наличии).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ОМС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по истечении три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дцати дней с даты оп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убликования такого решения о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беспечивает внесение изменений в сведения, содержащиеся в Едином государственном реестре недвижимости (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ЕГРН), в отношении размера доли.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  <w:t xml:space="preserve">Названные сведения органом регистрации права вносятся в ЕГРН в срок не более пяти рабочих дней со дн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я поступления заявления ОМС.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70"/>
        <w:ind w:left="0" w:firstLine="709"/>
        <w:jc w:val="both"/>
        <w:spacing w:after="0" w:line="240" w:lineRule="auto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Напомним, что данная мера в виде определения размеров долей в балло-гектарах принята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целях обеспечения реализации положений статьи 19.1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Федерального закона от 24.07.2002 № 101-ФЗ "Об обороте земель сельскохозяйственного назначения", статьи 47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Федерального закона от 13.07.2015 № 218-ФЗ "О государственной регистрации недвижимости".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#Земля #Доля #БаллоГектар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7">
    <w:name w:val="Heading 1 Char"/>
    <w:basedOn w:val="951"/>
    <w:link w:val="950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1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1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1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1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1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1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1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Title"/>
    <w:basedOn w:val="949"/>
    <w:next w:val="949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basedOn w:val="951"/>
    <w:link w:val="794"/>
    <w:uiPriority w:val="10"/>
    <w:rPr>
      <w:sz w:val="48"/>
      <w:szCs w:val="48"/>
    </w:rPr>
  </w:style>
  <w:style w:type="paragraph" w:styleId="796">
    <w:name w:val="Subtitle"/>
    <w:basedOn w:val="949"/>
    <w:next w:val="949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1"/>
    <w:link w:val="796"/>
    <w:uiPriority w:val="11"/>
    <w:rPr>
      <w:sz w:val="24"/>
      <w:szCs w:val="24"/>
    </w:rPr>
  </w:style>
  <w:style w:type="paragraph" w:styleId="798">
    <w:name w:val="Quote"/>
    <w:basedOn w:val="949"/>
    <w:next w:val="949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9"/>
    <w:next w:val="949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1"/>
    <w:link w:val="966"/>
    <w:uiPriority w:val="99"/>
  </w:style>
  <w:style w:type="character" w:styleId="803">
    <w:name w:val="Footer Char"/>
    <w:basedOn w:val="951"/>
    <w:link w:val="968"/>
    <w:uiPriority w:val="99"/>
  </w:style>
  <w:style w:type="paragraph" w:styleId="804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968"/>
    <w:uiPriority w:val="99"/>
  </w:style>
  <w:style w:type="table" w:styleId="806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6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7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8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9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0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1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0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1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2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3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4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5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1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1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  <w:pPr>
      <w:spacing w:after="200" w:line="276" w:lineRule="auto"/>
    </w:pPr>
  </w:style>
  <w:style w:type="paragraph" w:styleId="950">
    <w:name w:val="Heading 1"/>
    <w:basedOn w:val="949"/>
    <w:next w:val="949"/>
    <w:link w:val="957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5" w:customStyle="1">
    <w:name w:val="Текст выноски Знак"/>
    <w:basedOn w:val="951"/>
    <w:link w:val="954"/>
    <w:uiPriority w:val="99"/>
    <w:semiHidden/>
    <w:rPr>
      <w:rFonts w:ascii="Segoe UI" w:hAnsi="Segoe UI" w:cs="Segoe UI"/>
      <w:sz w:val="18"/>
      <w:szCs w:val="18"/>
    </w:rPr>
  </w:style>
  <w:style w:type="paragraph" w:styleId="956">
    <w:name w:val="No Spacing"/>
    <w:uiPriority w:val="1"/>
    <w:qFormat/>
    <w:pPr>
      <w:spacing w:after="0" w:line="240" w:lineRule="auto"/>
    </w:pPr>
  </w:style>
  <w:style w:type="character" w:styleId="957" w:customStyle="1">
    <w:name w:val="Заголовок 1 Знак"/>
    <w:basedOn w:val="951"/>
    <w:link w:val="950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8">
    <w:name w:val="List Paragraph"/>
    <w:basedOn w:val="949"/>
    <w:uiPriority w:val="34"/>
    <w:qFormat/>
    <w:pPr>
      <w:contextualSpacing/>
      <w:ind w:left="720"/>
      <w:spacing w:after="160" w:line="256" w:lineRule="auto"/>
    </w:pPr>
  </w:style>
  <w:style w:type="character" w:styleId="959">
    <w:name w:val="Hyperlink"/>
    <w:basedOn w:val="951"/>
    <w:uiPriority w:val="99"/>
    <w:unhideWhenUsed/>
    <w:rPr>
      <w:color w:val="0563c1" w:themeColor="hyperlink"/>
      <w:u w:val="single"/>
    </w:rPr>
  </w:style>
  <w:style w:type="character" w:styleId="960">
    <w:name w:val="annotation reference"/>
    <w:basedOn w:val="951"/>
    <w:uiPriority w:val="99"/>
    <w:semiHidden/>
    <w:unhideWhenUsed/>
    <w:rPr>
      <w:sz w:val="16"/>
      <w:szCs w:val="16"/>
    </w:rPr>
  </w:style>
  <w:style w:type="paragraph" w:styleId="961">
    <w:name w:val="annotation text"/>
    <w:basedOn w:val="949"/>
    <w:link w:val="962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2" w:customStyle="1">
    <w:name w:val="Текст примечания Знак"/>
    <w:basedOn w:val="951"/>
    <w:link w:val="961"/>
    <w:uiPriority w:val="99"/>
    <w:semiHidden/>
    <w:rPr>
      <w:sz w:val="20"/>
      <w:szCs w:val="20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rPr>
      <w:b/>
      <w:bCs/>
    </w:rPr>
  </w:style>
  <w:style w:type="character" w:styleId="964" w:customStyle="1">
    <w:name w:val="Тема примечания Знак"/>
    <w:basedOn w:val="962"/>
    <w:link w:val="963"/>
    <w:uiPriority w:val="99"/>
    <w:semiHidden/>
    <w:rPr>
      <w:b/>
      <w:bCs/>
      <w:sz w:val="20"/>
      <w:szCs w:val="20"/>
    </w:rPr>
  </w:style>
  <w:style w:type="character" w:styleId="965">
    <w:name w:val="Strong"/>
    <w:basedOn w:val="951"/>
    <w:uiPriority w:val="22"/>
    <w:qFormat/>
    <w:rPr>
      <w:b/>
      <w:bCs/>
    </w:rPr>
  </w:style>
  <w:style w:type="paragraph" w:styleId="966">
    <w:name w:val="Header"/>
    <w:basedOn w:val="949"/>
    <w:link w:val="9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7" w:customStyle="1">
    <w:name w:val="Верхний колонтитул Знак"/>
    <w:basedOn w:val="951"/>
    <w:link w:val="966"/>
    <w:uiPriority w:val="99"/>
  </w:style>
  <w:style w:type="paragraph" w:styleId="968">
    <w:name w:val="Footer"/>
    <w:basedOn w:val="949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Нижний колонтитул Знак"/>
    <w:basedOn w:val="951"/>
    <w:link w:val="968"/>
    <w:uiPriority w:val="99"/>
  </w:style>
  <w:style w:type="paragraph" w:styleId="970" w:customStyle="1">
    <w:name w:val="Основной текст с отступом 3"/>
    <w:basedOn w:val="847"/>
    <w:next w:val="860"/>
    <w:link w:val="861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2025-05-19T05:23:23Z</dcterms:modified>
</cp:coreProperties>
</file>