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r>
        <w:rPr>
          <w:rFonts w:eastAsia="Calibri" w:cs="Times New Roman"/>
          <w:bCs/>
          <w:sz w:val="24"/>
          <w:szCs w:val="24"/>
        </w:rPr>
        <w:t>Всероссийский день трезвости</w:t>
      </w:r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</w:t>
      </w:r>
      <w:r>
        <w:rPr>
          <w:rFonts w:eastAsia="Calibri" w:cs="Times New Roman"/>
          <w:sz w:val="24"/>
          <w:szCs w:val="24"/>
        </w:rPr>
        <w:t>б</w:t>
      </w:r>
      <w:r w:rsidRPr="004B1AFE">
        <w:rPr>
          <w:rFonts w:eastAsia="Calibri" w:cs="Times New Roman"/>
          <w:sz w:val="24"/>
          <w:szCs w:val="24"/>
        </w:rPr>
        <w:t xml:space="preserve"> «</w:t>
      </w:r>
      <w:r>
        <w:rPr>
          <w:rFonts w:eastAsia="Calibri" w:cs="Times New Roman"/>
          <w:bCs/>
          <w:sz w:val="24"/>
          <w:szCs w:val="24"/>
        </w:rPr>
        <w:t>Всероссийский день трезвости</w:t>
      </w:r>
      <w:bookmarkStart w:id="1" w:name="_GoBack"/>
      <w:bookmarkEnd w:id="1"/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>
        <w:rPr>
          <w:rFonts w:eastAsia="Calibri" w:cs="Times New Roman"/>
          <w:b/>
          <w:sz w:val="24"/>
          <w:szCs w:val="24"/>
        </w:rPr>
        <w:t>03.10</w:t>
      </w:r>
      <w:r w:rsidRPr="004B1AFE">
        <w:rPr>
          <w:rFonts w:eastAsia="Calibri" w:cs="Times New Roman"/>
          <w:b/>
          <w:bCs/>
          <w:sz w:val="24"/>
          <w:szCs w:val="24"/>
        </w:rPr>
        <w:t>.</w:t>
      </w:r>
      <w:r w:rsidRPr="006754B9">
        <w:rPr>
          <w:rFonts w:eastAsia="Calibri" w:cs="Times New Roman"/>
          <w:b/>
          <w:bCs/>
          <w:sz w:val="24"/>
          <w:szCs w:val="24"/>
        </w:rPr>
        <w:t>2025</w:t>
      </w:r>
      <w:r w:rsidRPr="006754B9">
        <w:rPr>
          <w:rFonts w:eastAsia="Calibri" w:cs="Times New Roman"/>
          <w:b/>
          <w:sz w:val="24"/>
          <w:szCs w:val="24"/>
        </w:rPr>
        <w:t xml:space="preserve"> г.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>
        <w:rPr>
          <w:rFonts w:eastAsia="Calibri" w:cs="Times New Roman"/>
          <w:sz w:val="24"/>
          <w:szCs w:val="24"/>
        </w:rPr>
        <w:t>2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Pr="004B1AFE">
        <w:rPr>
          <w:rFonts w:eastAsia="Calibri" w:cs="Times New Roman"/>
          <w:sz w:val="24"/>
          <w:szCs w:val="24"/>
        </w:rPr>
        <w:t>ачальник</w:t>
      </w:r>
      <w:r>
        <w:rPr>
          <w:rFonts w:eastAsia="Calibri" w:cs="Times New Roman"/>
          <w:sz w:val="24"/>
          <w:szCs w:val="24"/>
        </w:rPr>
        <w:t>а</w:t>
      </w:r>
      <w:r w:rsidRPr="004B1AFE">
        <w:rPr>
          <w:rFonts w:eastAsia="Calibri" w:cs="Times New Roman"/>
          <w:sz w:val="24"/>
          <w:szCs w:val="24"/>
        </w:rPr>
        <w:t xml:space="preserve"> 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 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907C1B" w:rsidRPr="004B1AFE" w:rsidRDefault="00907C1B" w:rsidP="00907C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70310C" w:rsidRPr="008B5717" w:rsidRDefault="00907C1B" w:rsidP="00907C1B">
      <w:pPr>
        <w:spacing w:after="0"/>
        <w:jc w:val="center"/>
        <w:rPr>
          <w:rFonts w:cs="Times New Roman"/>
          <w:b/>
          <w:bCs/>
          <w:color w:val="002060"/>
          <w:sz w:val="40"/>
          <w:szCs w:val="40"/>
        </w:rPr>
      </w:pPr>
      <w:r w:rsidRPr="004B1AFE">
        <w:rPr>
          <w:rFonts w:ascii="Calibri" w:eastAsia="Calibri" w:hAnsi="Calibri"/>
          <w:sz w:val="22"/>
        </w:rPr>
        <w:br w:type="page"/>
      </w:r>
      <w:r w:rsidR="0070310C" w:rsidRPr="008B5717">
        <w:rPr>
          <w:rFonts w:cs="Times New Roman"/>
          <w:b/>
          <w:bCs/>
          <w:color w:val="002060"/>
          <w:sz w:val="40"/>
          <w:szCs w:val="40"/>
        </w:rPr>
        <w:lastRenderedPageBreak/>
        <w:t>Не дай себя уничтожить!</w:t>
      </w:r>
    </w:p>
    <w:p w:rsidR="0070310C" w:rsidRDefault="0070310C" w:rsidP="0070310C">
      <w:pPr>
        <w:rPr>
          <w:rFonts w:eastAsia="Calibri" w:cs="Times New Roman"/>
          <w:b/>
          <w:bCs/>
          <w:sz w:val="20"/>
          <w:szCs w:val="20"/>
        </w:rPr>
      </w:pP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drawing>
          <wp:anchor distT="0" distB="0" distL="114300" distR="114300" simplePos="0" relativeHeight="251659264" behindDoc="1" locked="0" layoutInCell="1" allowOverlap="1" wp14:anchorId="7C11A901" wp14:editId="4C8D88A5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416052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62" y="21363"/>
                <wp:lineTo x="21462" y="0"/>
                <wp:lineTo x="0" y="0"/>
              </wp:wrapPolygon>
            </wp:wrapTight>
            <wp:docPr id="121950729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10C">
        <w:rPr>
          <w:rFonts w:eastAsia="Calibri" w:cs="Times New Roman"/>
          <w:szCs w:val="28"/>
        </w:rPr>
        <w:t>3 октября отмечается</w:t>
      </w:r>
      <w:r w:rsidRPr="0070310C">
        <w:rPr>
          <w:rFonts w:eastAsia="Calibri" w:cs="Times New Roman"/>
          <w:sz w:val="20"/>
          <w:szCs w:val="20"/>
        </w:rPr>
        <w:t xml:space="preserve"> </w:t>
      </w:r>
      <w:r w:rsidRPr="0070310C">
        <w:rPr>
          <w:rFonts w:eastAsia="Calibri" w:cs="Times New Roman"/>
          <w:szCs w:val="28"/>
        </w:rPr>
        <w:t xml:space="preserve">Всемирный день трезвости. Этот день служит напоминанием о том, насколько важен личный выбор в пользу здоровья и благополучия. Для большинства людей употребление алкоголя – это риск развития алкоголизма. Едва ли кому-то нужно объяснять, что такое алкоголизм.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>В Забайкальском крае за 2014-2023гг зарегистрировано - 3398 случаев отравлений спиртосодержащими продуктами, 58% которых закончились летальным исходом.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В непропорционально большей степени от употребления алкоголя страдают дети и подростки. В Забайкальском крае в 2020-2024 гг. среди всех случаев острого отравления алкоголем доля отравлений подростков составила 3,0%, детей – 5,1%.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Вместе с тем, даже видя распространенность проблемы, люди не склонны проецировать ее на себя. В обществе принято считать, что алкоголизм касается только слабовольных людей и точно не возникнет, если употреблять спиртное в меру.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По данным ВОЗ Россия занимает 26 место в рейтинге стран по количеству употребляемого алкоголя на душу населения (на 2018 год).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  В 2020г по уровню смертности от алкоголя Россия занимала 3 место в мире после Белоруссии и Монголии.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  В 2024г из всех случаев </w:t>
      </w:r>
      <w:bookmarkStart w:id="2" w:name="_Hlk207975479"/>
      <w:r w:rsidRPr="0070310C">
        <w:rPr>
          <w:rFonts w:eastAsia="Calibri" w:cs="Times New Roman"/>
          <w:szCs w:val="28"/>
        </w:rPr>
        <w:t>отравлений спиртосодержащими продуктами</w:t>
      </w:r>
      <w:bookmarkEnd w:id="2"/>
      <w:r w:rsidRPr="0070310C">
        <w:rPr>
          <w:rFonts w:eastAsia="Calibri" w:cs="Times New Roman"/>
          <w:szCs w:val="28"/>
        </w:rPr>
        <w:t xml:space="preserve"> мужчины составили  - 72%,  женщины - 21%.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>Алкоголь оказывает негативное влияние на интеллект, подавляя работу мозга. Длительность жизни человека, регулярно употребляющего алкоголь, сокращается в среднем на 10-15 лет.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>Даже употребление  алкоголя в  «умеренных» дозах грозит вызвать сильную зависимость. Задача современного общества – оградить людей от этой опасности, убедить здоровых в пагубности употребления спиртного, остановить начинающих алкоголиков, и помочь больным, еще имеющим шансы на выздоровление. С этой целью проводится специальная профилактика алкоголизма.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b/>
          <w:bCs/>
          <w:szCs w:val="28"/>
        </w:rPr>
        <w:lastRenderedPageBreak/>
        <w:t xml:space="preserve">  Первичная профилактика алкоголизма</w:t>
      </w:r>
      <w:r w:rsidRPr="0070310C">
        <w:rPr>
          <w:rFonts w:eastAsia="Calibri" w:cs="Times New Roman"/>
          <w:szCs w:val="28"/>
        </w:rPr>
        <w:t xml:space="preserve"> - это способ оградить от болезни тех, кто еще не встречался с реалиями алкогольной зависимости. Необходимо дать понять потенциальному больному, что ждет его на этом пути: тяжелая зависимость; многочисленные проблемы со здоровьем; проблемы в семье и обществе; и трагический финал – гибель. Если сам человек будет глубоко убежден, что жизнь без употребления алкоголя не только возможна, но и более комфортна – задача первичной профилактики алкоголизма будет выполнена успешно.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b/>
          <w:bCs/>
          <w:szCs w:val="28"/>
        </w:rPr>
        <w:t xml:space="preserve">  Вторичная профилактика алкоголизма</w:t>
      </w:r>
      <w:r w:rsidRPr="0070310C">
        <w:rPr>
          <w:rFonts w:eastAsia="Calibri" w:cs="Times New Roman"/>
          <w:szCs w:val="28"/>
        </w:rPr>
        <w:t xml:space="preserve"> </w:t>
      </w:r>
      <w:proofErr w:type="gramStart"/>
      <w:r w:rsidRPr="0070310C">
        <w:rPr>
          <w:rFonts w:eastAsia="Calibri" w:cs="Times New Roman"/>
          <w:szCs w:val="28"/>
        </w:rPr>
        <w:t>-э</w:t>
      </w:r>
      <w:proofErr w:type="gramEnd"/>
      <w:r w:rsidRPr="0070310C">
        <w:rPr>
          <w:rFonts w:eastAsia="Calibri" w:cs="Times New Roman"/>
          <w:szCs w:val="28"/>
        </w:rPr>
        <w:t xml:space="preserve"> то помощь уже больным людям, попавшим в зависимость от спиртного. Зачастую алкоголики не воспринимают свою проблему всерьез, считая, что все под контролем. В таком случае помощь просто необходима, без поддержки алкоголик вряд ли справится со своим пристрастием.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Вторичная профилактика алкоголизма - включает в себя ряд мер: работу с семьей и близкими друзьями больного, организацию встреч с бывшими алкоголиками для создания положительного образца поведения. Задача вторичной профилактики алкоголизма – успеть остановить алкоголика в тот момент, когда его организм еще не претерпел патологических изменений. 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b/>
          <w:bCs/>
          <w:szCs w:val="28"/>
        </w:rPr>
        <w:t xml:space="preserve">  Третичная профилактика алкоголизма</w:t>
      </w:r>
      <w:r w:rsidRPr="0070310C">
        <w:rPr>
          <w:rFonts w:eastAsia="Calibri" w:cs="Times New Roman"/>
          <w:szCs w:val="28"/>
        </w:rPr>
        <w:t xml:space="preserve"> - это комплекс мер, применяющихся к выздоравливающим после лечения, отказавшимся от спиртного больным. Она включает в себя: психологические консультации, организацию встреч анонимных алкоголиков. </w:t>
      </w:r>
    </w:p>
    <w:p w:rsidR="0070310C" w:rsidRPr="0070310C" w:rsidRDefault="0070310C" w:rsidP="0070310C">
      <w:pPr>
        <w:rPr>
          <w:rFonts w:eastAsia="Calibri" w:cs="Times New Roman"/>
          <w:b/>
          <w:bCs/>
          <w:szCs w:val="28"/>
        </w:rPr>
      </w:pPr>
      <w:r w:rsidRPr="0070310C">
        <w:rPr>
          <w:rFonts w:eastAsia="Calibri" w:cs="Times New Roman"/>
          <w:b/>
          <w:bCs/>
          <w:szCs w:val="28"/>
        </w:rPr>
        <w:t>Алкоголь опасен для здоровья! Наиболее эффективный способ борьбы с алкоголизмом — не допустить его возникновение.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># санпросвет</w:t>
      </w:r>
    </w:p>
    <w:p w:rsidR="0070310C" w:rsidRPr="0070310C" w:rsidRDefault="0070310C" w:rsidP="0070310C">
      <w:pPr>
        <w:rPr>
          <w:rFonts w:eastAsia="Calibri" w:cs="Times New Roman"/>
          <w:szCs w:val="28"/>
        </w:rPr>
      </w:pPr>
      <w:r w:rsidRPr="0070310C">
        <w:rPr>
          <w:rFonts w:eastAsia="Calibri" w:cs="Times New Roman"/>
          <w:szCs w:val="28"/>
        </w:rPr>
        <w:t xml:space="preserve">Информация подготовлена по материалам: </w:t>
      </w:r>
      <w:hyperlink r:id="rId7" w:history="1">
        <w:r w:rsidRPr="0070310C">
          <w:rPr>
            <w:rStyle w:val="ac"/>
            <w:rFonts w:eastAsia="Calibri" w:cs="Times New Roman"/>
            <w:szCs w:val="28"/>
          </w:rPr>
          <w:t>https://cgon.rospotrebnadzor.ru</w:t>
        </w:r>
      </w:hyperlink>
    </w:p>
    <w:p w:rsidR="0070310C" w:rsidRPr="0070310C" w:rsidRDefault="0070310C" w:rsidP="0070310C">
      <w:pPr>
        <w:rPr>
          <w:rFonts w:eastAsia="Calibri" w:cs="Times New Roman"/>
          <w:sz w:val="20"/>
          <w:szCs w:val="20"/>
        </w:rPr>
      </w:pPr>
    </w:p>
    <w:p w:rsidR="0070310C" w:rsidRPr="0070310C" w:rsidRDefault="0070310C" w:rsidP="0070310C">
      <w:pPr>
        <w:rPr>
          <w:rFonts w:eastAsia="Calibri" w:cs="Times New Roman"/>
          <w:b/>
          <w:bCs/>
          <w:sz w:val="20"/>
          <w:szCs w:val="20"/>
        </w:rPr>
      </w:pPr>
    </w:p>
    <w:p w:rsidR="00213909" w:rsidRPr="00390993" w:rsidRDefault="00213909" w:rsidP="0070310C">
      <w:pPr>
        <w:rPr>
          <w:rFonts w:cs="Times New Roman"/>
          <w:szCs w:val="28"/>
        </w:rPr>
      </w:pPr>
    </w:p>
    <w:p w:rsidR="00C60177" w:rsidRDefault="00C60177">
      <w:pPr>
        <w:spacing w:line="259" w:lineRule="auto"/>
        <w:rPr>
          <w:rFonts w:eastAsia="Calibri" w:cs="Times New Roman"/>
          <w:sz w:val="20"/>
          <w:szCs w:val="20"/>
        </w:rPr>
      </w:pPr>
    </w:p>
    <w:bookmarkEnd w:id="0"/>
    <w:sectPr w:rsidR="00C601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37E27"/>
    <w:rsid w:val="000F68E7"/>
    <w:rsid w:val="001C3E33"/>
    <w:rsid w:val="00213909"/>
    <w:rsid w:val="002327D7"/>
    <w:rsid w:val="00306B99"/>
    <w:rsid w:val="003B1AC0"/>
    <w:rsid w:val="003C43D5"/>
    <w:rsid w:val="004579E5"/>
    <w:rsid w:val="004C755F"/>
    <w:rsid w:val="005A3AEC"/>
    <w:rsid w:val="005C2B39"/>
    <w:rsid w:val="00627494"/>
    <w:rsid w:val="006C0B77"/>
    <w:rsid w:val="0070310C"/>
    <w:rsid w:val="0070642E"/>
    <w:rsid w:val="0072181D"/>
    <w:rsid w:val="007A591F"/>
    <w:rsid w:val="008040E1"/>
    <w:rsid w:val="008242FF"/>
    <w:rsid w:val="00870751"/>
    <w:rsid w:val="00907C1B"/>
    <w:rsid w:val="00922C48"/>
    <w:rsid w:val="009E1008"/>
    <w:rsid w:val="00A270F2"/>
    <w:rsid w:val="00A73369"/>
    <w:rsid w:val="00AA6D05"/>
    <w:rsid w:val="00AF5543"/>
    <w:rsid w:val="00B915B7"/>
    <w:rsid w:val="00C60177"/>
    <w:rsid w:val="00CF1F84"/>
    <w:rsid w:val="00D42228"/>
    <w:rsid w:val="00D460D4"/>
    <w:rsid w:val="00D6093E"/>
    <w:rsid w:val="00DC56E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2025-10-01T08:38:00Z</dcterms:created>
  <dcterms:modified xsi:type="dcterms:W3CDTF">2025-10-01T08:38:00Z</dcterms:modified>
</cp:coreProperties>
</file>