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958"/>
      </w:pPr>
      <w:r/>
      <w:r/>
    </w:p>
    <w:p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32"/>
          <w:szCs w:val="32"/>
        </w:rPr>
      </w:pPr>
      <w:r>
        <w:rPr>
          <w:rFonts w:ascii="Tinos" w:hAnsi="Tinos" w:eastAsia="Tinos" w:cs="Tinos"/>
          <w:sz w:val="32"/>
          <w:szCs w:val="32"/>
        </w:rPr>
        <w:t xml:space="preserve">Забайкальский Росреестр: обновлено меню многоканального телефона</w:t>
      </w:r>
      <w:r>
        <w:rPr>
          <w:rFonts w:ascii="Tinos" w:hAnsi="Tinos" w:cs="Tinos"/>
          <w:sz w:val="32"/>
          <w:szCs w:val="32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i/>
          <w:sz w:val="28"/>
          <w:szCs w:val="28"/>
        </w:rPr>
        <w:t xml:space="preserve">В Управлении </w:t>
      </w:r>
      <w:r>
        <w:rPr>
          <w:rFonts w:ascii="Tinos" w:hAnsi="Tinos" w:eastAsia="Tinos" w:cs="Tinos"/>
          <w:i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i/>
          <w:sz w:val="28"/>
          <w:szCs w:val="28"/>
        </w:rPr>
        <w:t xml:space="preserve"> по Забайкальскому информируют </w:t>
      </w:r>
      <w:r>
        <w:rPr>
          <w:rFonts w:ascii="Tinos" w:hAnsi="Tinos" w:eastAsia="Tinos" w:cs="Tinos"/>
          <w:i/>
          <w:sz w:val="28"/>
          <w:szCs w:val="28"/>
        </w:rPr>
        <w:t xml:space="preserve">граждан, органы власти и предпринимателей, что обновлено цифровое голосовое </w:t>
      </w:r>
      <w:r>
        <w:rPr>
          <w:rStyle w:val="972"/>
          <w:rFonts w:ascii="Tinos" w:hAnsi="Tinos" w:eastAsia="Tinos" w:cs="Tinos"/>
          <w:i/>
          <w:color w:val="000000"/>
          <w:sz w:val="28"/>
          <w:szCs w:val="28"/>
        </w:rPr>
        <w:t xml:space="preserve">меню многоканального телефона по номеру 8 (3022) 35-</w:t>
      </w:r>
      <w:r>
        <w:rPr>
          <w:rStyle w:val="972"/>
          <w:rFonts w:ascii="Tinos" w:hAnsi="Tinos" w:eastAsia="Tinos" w:cs="Tinos"/>
          <w:i/>
          <w:color w:val="000000"/>
          <w:sz w:val="28"/>
          <w:szCs w:val="28"/>
        </w:rPr>
        <w:t xml:space="preserve">22</w:t>
      </w:r>
      <w:r>
        <w:rPr>
          <w:rStyle w:val="972"/>
          <w:rFonts w:ascii="Tinos" w:hAnsi="Tinos" w:eastAsia="Tinos" w:cs="Tinos"/>
          <w:i/>
          <w:color w:val="000000"/>
          <w:sz w:val="28"/>
          <w:szCs w:val="28"/>
        </w:rPr>
        <w:t xml:space="preserve">-</w:t>
      </w:r>
      <w:r>
        <w:rPr>
          <w:rStyle w:val="972"/>
          <w:rFonts w:ascii="Tinos" w:hAnsi="Tinos" w:eastAsia="Tinos" w:cs="Tinos"/>
          <w:i/>
          <w:color w:val="000000"/>
          <w:sz w:val="28"/>
          <w:szCs w:val="28"/>
        </w:rPr>
        <w:t xml:space="preserve">11</w:t>
      </w:r>
      <w:r>
        <w:rPr>
          <w:rFonts w:ascii="Tinos" w:hAnsi="Tinos" w:eastAsia="Tinos" w:cs="Tinos"/>
          <w:i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Style w:val="972"/>
          <w:rFonts w:ascii="Tinos" w:hAnsi="Tinos" w:cs="Tinos"/>
          <w:color w:val="000000"/>
          <w:sz w:val="28"/>
          <w:szCs w:val="28"/>
        </w:rPr>
        <w:suppressLineNumbers w:val="0"/>
      </w:pPr>
      <w:r>
        <w:rPr>
          <w:rStyle w:val="972"/>
          <w:rFonts w:ascii="Tinos" w:hAnsi="Tinos" w:eastAsia="Tinos" w:cs="Tinos"/>
          <w:color w:val="000000"/>
          <w:sz w:val="28"/>
          <w:szCs w:val="28"/>
        </w:rPr>
      </w:r>
      <w:r>
        <w:rPr>
          <w:rStyle w:val="972"/>
          <w:rFonts w:ascii="Tinos" w:hAnsi="Tinos" w:eastAsia="Tinos" w:cs="Tinos"/>
          <w:color w:val="000000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cs="Tinos"/>
          <w:color w:val="00000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color w:val="000000"/>
          <w:sz w:val="28"/>
          <w:szCs w:val="28"/>
        </w:rPr>
        <w:t xml:space="preserve">Если вы знаете внутренний номер сотрудника регионального Управления </w:t>
      </w:r>
      <w:r>
        <w:rPr>
          <w:rFonts w:ascii="Tinos" w:hAnsi="Tinos" w:eastAsia="Tinos" w:cs="Tinos"/>
          <w:color w:val="000000"/>
          <w:sz w:val="28"/>
          <w:szCs w:val="28"/>
          <w:u w:val="single"/>
        </w:rPr>
        <w:t xml:space="preserve">сначала нажмите цифру 0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, а затем </w:t>
      </w:r>
      <w:r>
        <w:rPr>
          <w:rFonts w:ascii="Tinos" w:hAnsi="Tinos" w:eastAsia="Tinos" w:cs="Tinos"/>
          <w:color w:val="000000"/>
          <w:sz w:val="28"/>
          <w:szCs w:val="28"/>
          <w:u w:val="single"/>
        </w:rPr>
        <w:t xml:space="preserve">внутренний номер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, состоящий из 4 цифр.</w:t>
      </w:r>
      <w:r>
        <w:rPr>
          <w:rStyle w:val="972"/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Style w:val="972"/>
          <w:rFonts w:ascii="Tinos" w:hAnsi="Tinos" w:cs="Tinos"/>
          <w:color w:val="000000"/>
          <w:sz w:val="28"/>
          <w:szCs w:val="28"/>
        </w:rPr>
        <w:suppressLineNumbers w:val="0"/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eastAsia="Tinos" w:cs="Tinos"/>
          <w:color w:val="00000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По вопросам регистрации прав собственности и кадастрового учета нажмите цифру «1».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eastAsia="Tinos" w:cs="Tinos"/>
          <w:color w:val="00000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eastAsia="Tinos" w:cs="Tinos"/>
          <w:color w:val="00000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По вопросам государственного земельного надзора нажмите цифру «2».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eastAsia="Tinos" w:cs="Tinos"/>
          <w:color w:val="00000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eastAsia="Tinos" w:cs="Tinos"/>
          <w:color w:val="00000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По вопросам приостановления регистрации прав и доработки ранее поданных документов нажмите цифру «3».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eastAsia="Tinos" w:cs="Tinos"/>
          <w:color w:val="00000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eastAsia="Tinos" w:cs="Tinos"/>
          <w:color w:val="00000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По иным вопросам деятельности Управления (например, записи на личный прием) нажмите цифру «4».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Кроме того, нажав цифру 5, можно обратиться по «Телефону доверия», где можно сообщить о </w:t>
      </w:r>
      <w:r>
        <w:rPr>
          <w:rFonts w:ascii="Tinos" w:hAnsi="Tinos" w:eastAsia="Tinos" w:cs="Tinos"/>
          <w:sz w:val="28"/>
          <w:szCs w:val="28"/>
        </w:rPr>
        <w:t xml:space="preserve">конфликте интересов в действиях (бездействиях) государственных гражданских служащих</w:t>
      </w:r>
      <w:r>
        <w:rPr>
          <w:rFonts w:ascii="Tinos" w:hAnsi="Tinos" w:eastAsia="Tinos" w:cs="Tinos"/>
          <w:sz w:val="28"/>
          <w:szCs w:val="28"/>
        </w:rPr>
        <w:t xml:space="preserve">, а также несоблюдении ними ограничений и запретов, установленных законодательством РФ.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Время приема одного обращения в режиме автоответчика не должно превышать 5 минут.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73"/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auto" w:fill="auto"/>
        <w:tabs>
          <w:tab w:val="left" w:pos="0" w:leader="none"/>
        </w:tabs>
        <w:rPr>
          <w:rFonts w:ascii="Tinos" w:hAnsi="Tinos" w:cs="Tinos"/>
          <w:sz w:val="28"/>
          <w:szCs w:val="28"/>
        </w:rPr>
        <w:suppressLineNumbers w:val="0"/>
      </w:pPr>
      <w:r>
        <w:rPr>
          <w:rStyle w:val="972"/>
          <w:rFonts w:ascii="Tinos" w:hAnsi="Tinos" w:eastAsia="Tinos" w:cs="Tinos"/>
          <w:color w:val="000000"/>
          <w:sz w:val="28"/>
          <w:szCs w:val="28"/>
        </w:rPr>
        <w:t xml:space="preserve">- </w:t>
      </w:r>
      <w:r>
        <w:rPr>
          <w:rStyle w:val="972"/>
          <w:rFonts w:ascii="Tinos" w:hAnsi="Tinos" w:eastAsia="Tinos" w:cs="Tinos"/>
          <w:color w:val="000000"/>
          <w:sz w:val="28"/>
          <w:szCs w:val="28"/>
        </w:rPr>
        <w:t xml:space="preserve">Обращения, поступившие по «Телефону доверия» анонимно (без указания фамилии, имени</w:t>
      </w:r>
      <w:r>
        <w:rPr>
          <w:rStyle w:val="972"/>
          <w:rFonts w:ascii="Tinos" w:hAnsi="Tinos" w:eastAsia="Tinos" w:cs="Tinos"/>
          <w:color w:val="000000"/>
          <w:sz w:val="28"/>
          <w:szCs w:val="28"/>
        </w:rPr>
        <w:t xml:space="preserve"> гражданина, направившего обращение), либо не содержащие почтового адреса или адреса электронной почты, по которому должен быть направлен ответ, а также обращения, аудиозапись которых неразборчива, не регистрируются и не рассматриваются</w:t>
      </w:r>
      <w:r>
        <w:rPr>
          <w:rStyle w:val="972"/>
          <w:rFonts w:ascii="Tinos" w:hAnsi="Tinos" w:eastAsia="Tinos" w:cs="Tinos"/>
          <w:color w:val="000000"/>
          <w:sz w:val="28"/>
          <w:szCs w:val="28"/>
        </w:rPr>
        <w:t xml:space="preserve">, - уточняет Татьяна Лобан, заместитель руководителя Управления </w:t>
      </w:r>
      <w:r>
        <w:rPr>
          <w:rStyle w:val="972"/>
          <w:rFonts w:ascii="Tinos" w:hAnsi="Tinos" w:eastAsia="Tinos" w:cs="Tinos"/>
          <w:color w:val="000000"/>
          <w:sz w:val="28"/>
          <w:szCs w:val="28"/>
        </w:rPr>
        <w:t xml:space="preserve">Росреестра</w:t>
      </w:r>
      <w:r>
        <w:rPr>
          <w:rStyle w:val="972"/>
          <w:rFonts w:ascii="Tinos" w:hAnsi="Tinos" w:eastAsia="Tinos" w:cs="Tinos"/>
          <w:color w:val="000000"/>
          <w:sz w:val="28"/>
          <w:szCs w:val="28"/>
        </w:rPr>
        <w:t xml:space="preserve"> по Забайкальскому краю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Также обращения принимаются на официальную электронную почту Управления </w:t>
      </w:r>
      <w:r>
        <w:rPr>
          <w:rFonts w:ascii="Tinos" w:hAnsi="Tinos" w:eastAsia="Tinos" w:cs="Tinos"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sz w:val="28"/>
          <w:szCs w:val="28"/>
        </w:rPr>
        <w:t xml:space="preserve"> по Забайкальскому краю </w:t>
      </w:r>
      <w:hyperlink r:id="rId16" w:tooltip="mailto:75_upr@rosreestr.ru" w:history="1">
        <w:r>
          <w:rPr>
            <w:rStyle w:val="961"/>
            <w:rFonts w:ascii="Tinos" w:hAnsi="Tinos" w:eastAsia="Tinos" w:cs="Tinos"/>
            <w:sz w:val="28"/>
            <w:szCs w:val="28"/>
          </w:rPr>
          <w:t xml:space="preserve">75_upr@rosreestr.ru</w:t>
        </w:r>
      </w:hyperlink>
      <w:r>
        <w:rPr>
          <w:rFonts w:ascii="Tinos" w:hAnsi="Tinos" w:eastAsia="Tinos" w:cs="Tinos"/>
          <w:sz w:val="28"/>
          <w:szCs w:val="28"/>
        </w:rPr>
        <w:t xml:space="preserve">, либо </w:t>
      </w:r>
      <w:hyperlink r:id="rId17" w:tooltip="mailto:kadri@r75.rosreestr.ru" w:history="1">
        <w:r>
          <w:rPr>
            <w:rStyle w:val="961"/>
            <w:rFonts w:ascii="Tinos" w:hAnsi="Tinos" w:eastAsia="Tinos" w:cs="Tinos"/>
            <w:sz w:val="28"/>
            <w:szCs w:val="28"/>
          </w:rPr>
          <w:t xml:space="preserve">kadri@r75.rosreestr.ru</w:t>
        </w:r>
      </w:hyperlink>
      <w:r>
        <w:rPr>
          <w:rFonts w:ascii="Tinos" w:hAnsi="Tinos" w:eastAsia="Tinos" w:cs="Tinos"/>
          <w:sz w:val="28"/>
          <w:szCs w:val="28"/>
        </w:rPr>
        <w:t xml:space="preserve">. </w:t>
      </w:r>
      <w:r>
        <w:rPr>
          <w:rFonts w:ascii="Tinos" w:hAnsi="Tinos" w:eastAsia="Tinos" w:cs="Tinos"/>
          <w:sz w:val="28"/>
          <w:szCs w:val="28"/>
        </w:rPr>
        <w:t xml:space="preserve">Обращения в письменном виде также принимаются по адресу: 6720</w:t>
      </w:r>
      <w:r>
        <w:rPr>
          <w:rFonts w:ascii="Tinos" w:hAnsi="Tinos" w:eastAsia="Tinos" w:cs="Tinos"/>
          <w:sz w:val="28"/>
          <w:szCs w:val="28"/>
        </w:rPr>
        <w:t xml:space="preserve">39</w:t>
      </w:r>
      <w:r>
        <w:rPr>
          <w:rFonts w:ascii="Tinos" w:hAnsi="Tinos" w:eastAsia="Tinos" w:cs="Tinos"/>
          <w:sz w:val="28"/>
          <w:szCs w:val="28"/>
        </w:rPr>
        <w:t xml:space="preserve">, г. Чита, ул. А</w:t>
      </w:r>
      <w:r>
        <w:rPr>
          <w:rFonts w:ascii="Tinos" w:hAnsi="Tinos" w:eastAsia="Tinos" w:cs="Tinos"/>
          <w:sz w:val="28"/>
          <w:szCs w:val="28"/>
        </w:rPr>
        <w:t xml:space="preserve">мурская</w:t>
      </w:r>
      <w:r>
        <w:rPr>
          <w:rFonts w:ascii="Tinos" w:hAnsi="Tinos" w:eastAsia="Tinos" w:cs="Tinos"/>
          <w:sz w:val="28"/>
          <w:szCs w:val="28"/>
        </w:rPr>
        <w:t xml:space="preserve">, </w:t>
      </w:r>
      <w:r>
        <w:rPr>
          <w:rFonts w:ascii="Tinos" w:hAnsi="Tinos" w:eastAsia="Tinos" w:cs="Tinos"/>
          <w:sz w:val="28"/>
          <w:szCs w:val="28"/>
        </w:rPr>
        <w:t xml:space="preserve">15</w:t>
      </w:r>
      <w:r>
        <w:rPr>
          <w:rFonts w:ascii="Tinos" w:hAnsi="Tinos" w:eastAsia="Tinos" w:cs="Tinos"/>
          <w:sz w:val="28"/>
          <w:szCs w:val="28"/>
        </w:rPr>
        <w:t xml:space="preserve">.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В круглосуточном режиме функционирует и федеральный «Телефон доверия» </w:t>
      </w:r>
      <w:r>
        <w:rPr>
          <w:rFonts w:ascii="Tinos" w:hAnsi="Tinos" w:eastAsia="Tinos" w:cs="Tinos"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sz w:val="28"/>
          <w:szCs w:val="28"/>
        </w:rPr>
        <w:t xml:space="preserve">, куда можно позвонить по номеру 8 (800) 100-18-18. Имеется дополнительная возможность сообщить о фактах коррупции, заполнив электронную форму на сайте </w:t>
      </w:r>
      <w:r>
        <w:rPr>
          <w:rFonts w:ascii="Tinos" w:hAnsi="Tinos" w:eastAsia="Tinos" w:cs="Tinos"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sz w:val="28"/>
          <w:szCs w:val="28"/>
        </w:rPr>
        <w:t xml:space="preserve">: </w:t>
      </w:r>
      <w:hyperlink r:id="rId18" w:tooltip="https://rosreestr.gov.ru/eservices/services/tickets/" w:history="1">
        <w:r>
          <w:rPr>
            <w:rStyle w:val="961"/>
            <w:rFonts w:ascii="Tinos" w:hAnsi="Tinos" w:eastAsia="Tinos" w:cs="Tinos"/>
            <w:sz w:val="28"/>
            <w:szCs w:val="28"/>
          </w:rPr>
          <w:t xml:space="preserve">https://rosreestr.gov.ru/eservices/services/tickets/</w:t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РосреестрЧита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РосреестрЗабайкальскийКрай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#Росреестр75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ТелефонДоверия</w:t>
      </w:r>
      <w:r>
        <w:rPr>
          <w:rFonts w:ascii="Tinos" w:hAnsi="Tinos" w:eastAsia="Tinos" w:cs="Tinos"/>
          <w:sz w:val="28"/>
          <w:szCs w:val="28"/>
        </w:rPr>
        <w:t xml:space="preserve"> #МногоканальныйТелефон #Контакты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r>
      <w:rPr>
        <w:rFonts w:ascii="Segoe UI" w:hAnsi="Segoe UI" w:cs="Segoe UI"/>
        <w:color w:val="0070b9"/>
        <w:sz w:val="16"/>
        <w:szCs w:val="16"/>
      </w:rPr>
      <w:t xml:space="preserve">Росреестра</w:t>
    </w:r>
    <w:r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0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61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61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0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0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9">
    <w:name w:val="Heading 1 Char"/>
    <w:basedOn w:val="953"/>
    <w:link w:val="952"/>
    <w:uiPriority w:val="9"/>
    <w:rPr>
      <w:rFonts w:ascii="Arial" w:hAnsi="Arial" w:eastAsia="Arial" w:cs="Arial"/>
      <w:sz w:val="40"/>
      <w:szCs w:val="40"/>
    </w:rPr>
  </w:style>
  <w:style w:type="paragraph" w:styleId="780">
    <w:name w:val="Heading 2"/>
    <w:basedOn w:val="951"/>
    <w:next w:val="951"/>
    <w:link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1">
    <w:name w:val="Heading 2 Char"/>
    <w:basedOn w:val="953"/>
    <w:link w:val="780"/>
    <w:uiPriority w:val="9"/>
    <w:rPr>
      <w:rFonts w:ascii="Arial" w:hAnsi="Arial" w:eastAsia="Arial" w:cs="Arial"/>
      <w:sz w:val="34"/>
    </w:rPr>
  </w:style>
  <w:style w:type="paragraph" w:styleId="782">
    <w:name w:val="Heading 3"/>
    <w:basedOn w:val="951"/>
    <w:next w:val="951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3">
    <w:name w:val="Heading 3 Char"/>
    <w:basedOn w:val="953"/>
    <w:link w:val="782"/>
    <w:uiPriority w:val="9"/>
    <w:rPr>
      <w:rFonts w:ascii="Arial" w:hAnsi="Arial" w:eastAsia="Arial" w:cs="Arial"/>
      <w:sz w:val="30"/>
      <w:szCs w:val="30"/>
    </w:rPr>
  </w:style>
  <w:style w:type="paragraph" w:styleId="784">
    <w:name w:val="Heading 4"/>
    <w:basedOn w:val="951"/>
    <w:next w:val="951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5">
    <w:name w:val="Heading 4 Char"/>
    <w:basedOn w:val="953"/>
    <w:link w:val="784"/>
    <w:uiPriority w:val="9"/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951"/>
    <w:next w:val="951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7">
    <w:name w:val="Heading 5 Char"/>
    <w:basedOn w:val="953"/>
    <w:link w:val="786"/>
    <w:uiPriority w:val="9"/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951"/>
    <w:next w:val="951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9">
    <w:name w:val="Heading 6 Char"/>
    <w:basedOn w:val="953"/>
    <w:link w:val="788"/>
    <w:uiPriority w:val="9"/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951"/>
    <w:next w:val="951"/>
    <w:link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1">
    <w:name w:val="Heading 7 Char"/>
    <w:basedOn w:val="953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951"/>
    <w:next w:val="951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3">
    <w:name w:val="Heading 8 Char"/>
    <w:basedOn w:val="953"/>
    <w:link w:val="792"/>
    <w:uiPriority w:val="9"/>
    <w:rPr>
      <w:rFonts w:ascii="Arial" w:hAnsi="Arial" w:eastAsia="Arial" w:cs="Arial"/>
      <w:i/>
      <w:iCs/>
      <w:sz w:val="22"/>
      <w:szCs w:val="22"/>
    </w:rPr>
  </w:style>
  <w:style w:type="paragraph" w:styleId="794">
    <w:name w:val="Heading 9"/>
    <w:basedOn w:val="951"/>
    <w:next w:val="951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>
    <w:name w:val="Heading 9 Char"/>
    <w:basedOn w:val="953"/>
    <w:link w:val="794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Title"/>
    <w:basedOn w:val="951"/>
    <w:next w:val="951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>
    <w:name w:val="Title Char"/>
    <w:basedOn w:val="953"/>
    <w:link w:val="796"/>
    <w:uiPriority w:val="10"/>
    <w:rPr>
      <w:sz w:val="48"/>
      <w:szCs w:val="48"/>
    </w:rPr>
  </w:style>
  <w:style w:type="paragraph" w:styleId="798">
    <w:name w:val="Subtitle"/>
    <w:basedOn w:val="951"/>
    <w:next w:val="951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basedOn w:val="953"/>
    <w:link w:val="798"/>
    <w:uiPriority w:val="11"/>
    <w:rPr>
      <w:sz w:val="24"/>
      <w:szCs w:val="24"/>
    </w:rPr>
  </w:style>
  <w:style w:type="paragraph" w:styleId="800">
    <w:name w:val="Quote"/>
    <w:basedOn w:val="951"/>
    <w:next w:val="951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1"/>
    <w:next w:val="951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character" w:styleId="804">
    <w:name w:val="Header Char"/>
    <w:basedOn w:val="953"/>
    <w:link w:val="968"/>
    <w:uiPriority w:val="99"/>
  </w:style>
  <w:style w:type="character" w:styleId="805">
    <w:name w:val="Footer Char"/>
    <w:basedOn w:val="953"/>
    <w:link w:val="970"/>
    <w:uiPriority w:val="99"/>
  </w:style>
  <w:style w:type="paragraph" w:styleId="806">
    <w:name w:val="Caption"/>
    <w:basedOn w:val="951"/>
    <w:next w:val="9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970"/>
    <w:uiPriority w:val="99"/>
  </w:style>
  <w:style w:type="table" w:styleId="808">
    <w:name w:val="Table Grid"/>
    <w:basedOn w:val="9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 Light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8">
    <w:name w:val="List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9">
    <w:name w:val="List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0">
    <w:name w:val="List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1">
    <w:name w:val="List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2">
    <w:name w:val="List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3">
    <w:name w:val="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5">
    <w:name w:val="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6">
    <w:name w:val="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7">
    <w:name w:val="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8">
    <w:name w:val="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9">
    <w:name w:val="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0">
    <w:name w:val="Bordered &amp; 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2">
    <w:name w:val="Bordered &amp; 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3">
    <w:name w:val="Bordered &amp; 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4">
    <w:name w:val="Bordered &amp; 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5">
    <w:name w:val="Bordered &amp; 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6">
    <w:name w:val="Bordered &amp; 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7">
    <w:name w:val="Bordered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4">
    <w:name w:val="footnote text"/>
    <w:basedOn w:val="951"/>
    <w:link w:val="935"/>
    <w:uiPriority w:val="99"/>
    <w:semiHidden/>
    <w:unhideWhenUsed/>
    <w:pPr>
      <w:spacing w:after="40" w:line="240" w:lineRule="auto"/>
    </w:pPr>
    <w:rPr>
      <w:sz w:val="18"/>
    </w:rPr>
  </w:style>
  <w:style w:type="character" w:styleId="935">
    <w:name w:val="Footnote Text Char"/>
    <w:link w:val="934"/>
    <w:uiPriority w:val="99"/>
    <w:rPr>
      <w:sz w:val="18"/>
    </w:rPr>
  </w:style>
  <w:style w:type="character" w:styleId="936">
    <w:name w:val="footnote reference"/>
    <w:basedOn w:val="953"/>
    <w:uiPriority w:val="99"/>
    <w:unhideWhenUsed/>
    <w:rPr>
      <w:vertAlign w:val="superscript"/>
    </w:rPr>
  </w:style>
  <w:style w:type="paragraph" w:styleId="937">
    <w:name w:val="endnote text"/>
    <w:basedOn w:val="951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>
    <w:name w:val="Endnote Text Char"/>
    <w:link w:val="937"/>
    <w:uiPriority w:val="99"/>
    <w:rPr>
      <w:sz w:val="20"/>
    </w:rPr>
  </w:style>
  <w:style w:type="character" w:styleId="939">
    <w:name w:val="endnote reference"/>
    <w:basedOn w:val="953"/>
    <w:uiPriority w:val="99"/>
    <w:semiHidden/>
    <w:unhideWhenUsed/>
    <w:rPr>
      <w:vertAlign w:val="superscript"/>
    </w:rPr>
  </w:style>
  <w:style w:type="paragraph" w:styleId="940">
    <w:name w:val="toc 1"/>
    <w:basedOn w:val="951"/>
    <w:next w:val="951"/>
    <w:uiPriority w:val="39"/>
    <w:unhideWhenUsed/>
    <w:pPr>
      <w:ind w:left="0" w:right="0" w:firstLine="0"/>
      <w:spacing w:after="57"/>
    </w:pPr>
  </w:style>
  <w:style w:type="paragraph" w:styleId="941">
    <w:name w:val="toc 2"/>
    <w:basedOn w:val="951"/>
    <w:next w:val="951"/>
    <w:uiPriority w:val="39"/>
    <w:unhideWhenUsed/>
    <w:pPr>
      <w:ind w:left="283" w:right="0" w:firstLine="0"/>
      <w:spacing w:after="57"/>
    </w:pPr>
  </w:style>
  <w:style w:type="paragraph" w:styleId="942">
    <w:name w:val="toc 3"/>
    <w:basedOn w:val="951"/>
    <w:next w:val="951"/>
    <w:uiPriority w:val="39"/>
    <w:unhideWhenUsed/>
    <w:pPr>
      <w:ind w:left="567" w:right="0" w:firstLine="0"/>
      <w:spacing w:after="57"/>
    </w:pPr>
  </w:style>
  <w:style w:type="paragraph" w:styleId="943">
    <w:name w:val="toc 4"/>
    <w:basedOn w:val="951"/>
    <w:next w:val="951"/>
    <w:uiPriority w:val="39"/>
    <w:unhideWhenUsed/>
    <w:pPr>
      <w:ind w:left="850" w:right="0" w:firstLine="0"/>
      <w:spacing w:after="57"/>
    </w:pPr>
  </w:style>
  <w:style w:type="paragraph" w:styleId="944">
    <w:name w:val="toc 5"/>
    <w:basedOn w:val="951"/>
    <w:next w:val="951"/>
    <w:uiPriority w:val="39"/>
    <w:unhideWhenUsed/>
    <w:pPr>
      <w:ind w:left="1134" w:right="0" w:firstLine="0"/>
      <w:spacing w:after="57"/>
    </w:pPr>
  </w:style>
  <w:style w:type="paragraph" w:styleId="945">
    <w:name w:val="toc 6"/>
    <w:basedOn w:val="951"/>
    <w:next w:val="951"/>
    <w:uiPriority w:val="39"/>
    <w:unhideWhenUsed/>
    <w:pPr>
      <w:ind w:left="1417" w:right="0" w:firstLine="0"/>
      <w:spacing w:after="57"/>
    </w:pPr>
  </w:style>
  <w:style w:type="paragraph" w:styleId="946">
    <w:name w:val="toc 7"/>
    <w:basedOn w:val="951"/>
    <w:next w:val="951"/>
    <w:uiPriority w:val="39"/>
    <w:unhideWhenUsed/>
    <w:pPr>
      <w:ind w:left="1701" w:right="0" w:firstLine="0"/>
      <w:spacing w:after="57"/>
    </w:pPr>
  </w:style>
  <w:style w:type="paragraph" w:styleId="947">
    <w:name w:val="toc 8"/>
    <w:basedOn w:val="951"/>
    <w:next w:val="951"/>
    <w:uiPriority w:val="39"/>
    <w:unhideWhenUsed/>
    <w:pPr>
      <w:ind w:left="1984" w:right="0" w:firstLine="0"/>
      <w:spacing w:after="57"/>
    </w:pPr>
  </w:style>
  <w:style w:type="paragraph" w:styleId="948">
    <w:name w:val="toc 9"/>
    <w:basedOn w:val="951"/>
    <w:next w:val="951"/>
    <w:uiPriority w:val="39"/>
    <w:unhideWhenUsed/>
    <w:pPr>
      <w:ind w:left="2268" w:right="0" w:firstLine="0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951"/>
    <w:next w:val="951"/>
    <w:uiPriority w:val="99"/>
    <w:unhideWhenUsed/>
    <w:pPr>
      <w:spacing w:after="0" w:afterAutospacing="0"/>
    </w:pPr>
  </w:style>
  <w:style w:type="paragraph" w:styleId="951" w:default="1">
    <w:name w:val="Normal"/>
    <w:qFormat/>
    <w:pPr>
      <w:spacing w:after="200" w:line="276" w:lineRule="auto"/>
    </w:pPr>
  </w:style>
  <w:style w:type="paragraph" w:styleId="952">
    <w:name w:val="Heading 1"/>
    <w:basedOn w:val="951"/>
    <w:next w:val="951"/>
    <w:link w:val="959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3" w:default="1">
    <w:name w:val="Default Paragraph Font"/>
    <w:uiPriority w:val="1"/>
    <w:semiHidden/>
    <w:unhideWhenUsed/>
  </w:style>
  <w:style w:type="table" w:styleId="9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5" w:default="1">
    <w:name w:val="No List"/>
    <w:uiPriority w:val="99"/>
    <w:semiHidden/>
    <w:unhideWhenUsed/>
  </w:style>
  <w:style w:type="paragraph" w:styleId="956">
    <w:name w:val="Balloon Text"/>
    <w:basedOn w:val="951"/>
    <w:link w:val="9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7" w:customStyle="1">
    <w:name w:val="Текст выноски Знак"/>
    <w:basedOn w:val="953"/>
    <w:link w:val="956"/>
    <w:uiPriority w:val="99"/>
    <w:semiHidden/>
    <w:rPr>
      <w:rFonts w:ascii="Segoe UI" w:hAnsi="Segoe UI" w:cs="Segoe UI"/>
      <w:sz w:val="18"/>
      <w:szCs w:val="18"/>
    </w:rPr>
  </w:style>
  <w:style w:type="paragraph" w:styleId="958">
    <w:name w:val="No Spacing"/>
    <w:uiPriority w:val="1"/>
    <w:qFormat/>
    <w:pPr>
      <w:spacing w:after="0" w:line="240" w:lineRule="auto"/>
    </w:pPr>
  </w:style>
  <w:style w:type="character" w:styleId="959" w:customStyle="1">
    <w:name w:val="Заголовок 1 Знак"/>
    <w:basedOn w:val="953"/>
    <w:link w:val="95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0">
    <w:name w:val="List Paragraph"/>
    <w:basedOn w:val="951"/>
    <w:uiPriority w:val="34"/>
    <w:qFormat/>
    <w:pPr>
      <w:contextualSpacing/>
      <w:ind w:left="720"/>
      <w:spacing w:after="160" w:line="256" w:lineRule="auto"/>
    </w:pPr>
  </w:style>
  <w:style w:type="character" w:styleId="961">
    <w:name w:val="Hyperlink"/>
    <w:basedOn w:val="953"/>
    <w:uiPriority w:val="99"/>
    <w:unhideWhenUsed/>
    <w:rPr>
      <w:color w:val="0563c1" w:themeColor="hyperlink"/>
      <w:u w:val="single"/>
    </w:rPr>
  </w:style>
  <w:style w:type="character" w:styleId="962">
    <w:name w:val="annotation reference"/>
    <w:basedOn w:val="953"/>
    <w:uiPriority w:val="99"/>
    <w:semiHidden/>
    <w:unhideWhenUsed/>
    <w:rPr>
      <w:sz w:val="16"/>
      <w:szCs w:val="16"/>
    </w:rPr>
  </w:style>
  <w:style w:type="paragraph" w:styleId="963">
    <w:name w:val="annotation text"/>
    <w:basedOn w:val="951"/>
    <w:link w:val="964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4" w:customStyle="1">
    <w:name w:val="Текст примечания Знак"/>
    <w:basedOn w:val="953"/>
    <w:link w:val="963"/>
    <w:uiPriority w:val="99"/>
    <w:semiHidden/>
    <w:rPr>
      <w:sz w:val="20"/>
      <w:szCs w:val="20"/>
    </w:rPr>
  </w:style>
  <w:style w:type="paragraph" w:styleId="965">
    <w:name w:val="annotation subject"/>
    <w:basedOn w:val="963"/>
    <w:next w:val="963"/>
    <w:link w:val="966"/>
    <w:uiPriority w:val="99"/>
    <w:semiHidden/>
    <w:unhideWhenUsed/>
    <w:rPr>
      <w:b/>
      <w:bCs/>
    </w:rPr>
  </w:style>
  <w:style w:type="character" w:styleId="966" w:customStyle="1">
    <w:name w:val="Тема примечания Знак"/>
    <w:basedOn w:val="964"/>
    <w:link w:val="965"/>
    <w:uiPriority w:val="99"/>
    <w:semiHidden/>
    <w:rPr>
      <w:b/>
      <w:bCs/>
      <w:sz w:val="20"/>
      <w:szCs w:val="20"/>
    </w:rPr>
  </w:style>
  <w:style w:type="character" w:styleId="967">
    <w:name w:val="Strong"/>
    <w:basedOn w:val="953"/>
    <w:uiPriority w:val="22"/>
    <w:qFormat/>
    <w:rPr>
      <w:b/>
      <w:bCs/>
    </w:rPr>
  </w:style>
  <w:style w:type="paragraph" w:styleId="968">
    <w:name w:val="Header"/>
    <w:basedOn w:val="951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Верхний колонтитул Знак"/>
    <w:basedOn w:val="953"/>
    <w:link w:val="968"/>
    <w:uiPriority w:val="99"/>
  </w:style>
  <w:style w:type="paragraph" w:styleId="970">
    <w:name w:val="Footer"/>
    <w:basedOn w:val="951"/>
    <w:link w:val="9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1" w:customStyle="1">
    <w:name w:val="Нижний колонтитул Знак"/>
    <w:basedOn w:val="953"/>
    <w:link w:val="970"/>
    <w:uiPriority w:val="99"/>
  </w:style>
  <w:style w:type="character" w:styleId="972" w:customStyle="1">
    <w:name w:val="Основной текст (2)_"/>
    <w:basedOn w:val="953"/>
    <w:link w:val="973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973" w:customStyle="1">
    <w:name w:val="Основной текст (2)"/>
    <w:basedOn w:val="951"/>
    <w:link w:val="972"/>
    <w:uiPriority w:val="99"/>
    <w:pPr>
      <w:jc w:val="center"/>
      <w:spacing w:before="360" w:after="0" w:line="317" w:lineRule="exact"/>
      <w:shd w:val="clear" w:color="auto" w:fill="ffffff"/>
      <w:widowControl w:val="off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mailto:75_upr@rosreestr.ru" TargetMode="External"/><Relationship Id="rId17" Type="http://schemas.openxmlformats.org/officeDocument/2006/relationships/hyperlink" Target="mailto:kadri@r75.rosreestr.ru" TargetMode="External"/><Relationship Id="rId18" Type="http://schemas.openxmlformats.org/officeDocument/2006/relationships/hyperlink" Target="https://rosreestr.gov.ru/eservices/services/ticket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27</cp:revision>
  <dcterms:created xsi:type="dcterms:W3CDTF">2022-05-27T10:42:00Z</dcterms:created>
  <dcterms:modified xsi:type="dcterms:W3CDTF">2025-11-01T03:24:29Z</dcterms:modified>
</cp:coreProperties>
</file>