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Общая информация о закупке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Внимание!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КоАП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 РФ и ст. 178 УК РФ</w:t>
      </w:r>
      <w:proofErr w:type="gramEnd"/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и время размещения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bdr w:val="none" w:sz="0" w:space="0" w:color="auto" w:frame="1"/>
          <w:lang w:eastAsia="ru-RU"/>
        </w:rPr>
        <w:t>30.01.2026 09:40:15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 </w:t>
      </w:r>
      <w:r w:rsidRPr="0058048C">
        <w:rPr>
          <w:rFonts w:ascii="inherit" w:eastAsia="Times New Roman" w:hAnsi="inherit" w:cs="Arial"/>
          <w:color w:val="99A0A8"/>
          <w:sz w:val="14"/>
          <w:lang w:eastAsia="ru-RU"/>
        </w:rPr>
        <w:t>(МСК+6)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74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версия 1, действующая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Способ определения поставщика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Открытый конкурс в электронной форме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Номер извещения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hyperlink r:id="rId5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0891200000626000273</w:t>
        </w:r>
      </w:hyperlink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Наименование объекта закупки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Благоустройство дворовой территории по адресу: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пгт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Приаргунск, ул. Чернышевского д.2, д.4, д.4а, д.6, д.8 в рамках муниципальной программы "Формирование современной городской среды" (00000282-ОК)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Идентификационный код закупки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263751800145475180100100080014299244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Адрес электронной площадки в сети Интернет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hyperlink r:id="rId6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https://etpgpb.ru/</w:t>
        </w:r>
      </w:hyperlink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Печатная форма извещения в ЕИС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hyperlink r:id="rId7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Перейти</w:t>
        </w:r>
      </w:hyperlink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Начальная (максимальная) цена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.52RUB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 xml:space="preserve">Размер обеспечения заявки на участие, </w:t>
      </w:r>
      <w:proofErr w:type="spell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руб</w:t>
      </w:r>
      <w:proofErr w:type="spellEnd"/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47 585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.49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нет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Организация, осуществляющая размещение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Полное наименование организации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hyperlink r:id="rId8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Контактная информация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Контактное лицо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Марьясова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Оксана Вадимовна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Почтовый адрес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Российская Федерация, 672010, Забайкальский край, Чита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г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, УЛИЦА АМУРСКАЯ, ДОМ 13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Адрес местонахождения организации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Российская Федерация, 672010, Забайкальский край, Чита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г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, УЛИЦА АМУРСКАЯ, ДОМ 13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Адрес электронной почты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zabgoszakup.ser@yandex.ru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Номер контактного телефона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7-3022-310082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Факс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7-3022-310082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Дополнительная информация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Приаргунский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р-н, Приаргунск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пгт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, Ленина </w:t>
      </w:r>
      <w:proofErr w:type="spellStart"/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ул</w:t>
      </w:r>
      <w:proofErr w:type="spellEnd"/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, Ленина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ул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, Д.6. Почтовый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адрес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:Р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оссийская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Федерация, 674310, Забайкальский край,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Приаргунский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р-н, Приаргунск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пгт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, Ленина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ул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, Д.6. Телефон: 8-30243-21747. Адрес электронной почты: priarg_mr@mail.ru Ответственное лицо: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Логунов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Евгений Викторович.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Информация о процедуре проведения закупки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и время окончания срока подачи заявок на участие в процедуре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bdr w:val="none" w:sz="0" w:space="0" w:color="auto" w:frame="1"/>
          <w:lang w:eastAsia="ru-RU"/>
        </w:rPr>
        <w:t>19.02.2026 09:00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 </w:t>
      </w:r>
      <w:r w:rsidRPr="0058048C">
        <w:rPr>
          <w:rFonts w:ascii="inherit" w:eastAsia="Times New Roman" w:hAnsi="inherit" w:cs="Arial"/>
          <w:color w:val="99A0A8"/>
          <w:sz w:val="14"/>
          <w:lang w:eastAsia="ru-RU"/>
        </w:rPr>
        <w:t>(МСК+6)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окончания срока рассмотрения и оценки вторых частей заявок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bdr w:val="none" w:sz="0" w:space="0" w:color="auto" w:frame="1"/>
          <w:lang w:eastAsia="ru-RU"/>
        </w:rPr>
        <w:t>24.02.2026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подведения итогов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bdr w:val="none" w:sz="0" w:space="0" w:color="auto" w:frame="1"/>
          <w:lang w:eastAsia="ru-RU"/>
        </w:rPr>
        <w:t>25.02.2026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Преимущества</w:t>
      </w:r>
    </w:p>
    <w:p w:rsidR="0058048C" w:rsidRPr="0058048C" w:rsidRDefault="0058048C" w:rsidP="0058048C">
      <w:pPr>
        <w:shd w:val="clear" w:color="auto" w:fill="FFFFFF"/>
        <w:spacing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Преимущество в соответствии с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ч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. 3 ст. 30 Закона № 44-ФЗ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Требования</w:t>
      </w:r>
    </w:p>
    <w:p w:rsidR="0058048C" w:rsidRPr="0058048C" w:rsidRDefault="0058048C" w:rsidP="0058048C">
      <w:pPr>
        <w:shd w:val="clear" w:color="auto" w:fill="FFFFFF"/>
        <w:spacing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Единые требования к участникам закупок в соответствии с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ч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. 1 ст. 31 Закона № 44-ФЗ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  <w:t>Требования к участникам закупок в соответствии с ч. 2 ст. 31 Закона № 44-ФЗ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lastRenderedPageBreak/>
        <w:br/>
        <w:t>Требование к участникам закупок в соответствии с п. 1 ч. 1 ст. 31 Закона № 44-ФЗ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  <w:t>Содержание требования: не установлено;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Дополнительные требования</w:t>
      </w:r>
    </w:p>
    <w:p w:rsidR="0058048C" w:rsidRPr="0058048C" w:rsidRDefault="0058048C" w:rsidP="0058048C">
      <w:pPr>
        <w:shd w:val="clear" w:color="auto" w:fill="FFFFFF"/>
        <w:spacing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Требования в соответствии с позицией 9 раздела II приложения к ПП РФ от 29.12.2021 № 2571</w:t>
      </w: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br/>
        <w:t>Содержание требования: Наличие у участника закупки одного из следующих видов опыта выполнения работ: 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 3) 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 Цена выполненных работ по договорам, предусмотренных пунктами 1 или 2 настоящей графы настоящей позиции, цена выполненных работ, предусмотренных пунктом 3 настоящей графы настоящей позиции,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.И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нформация и документы, подтверждающие соответствие участников закупки дополнительным требованиям: в случае наличия опыта, предусмотренного пунктом 1 графы "Дополнительные требования к участникам закупки" настоящей позиции: 1) исполненный договор; 2) акт выполненных работ, подтверждающий цену выполненных работ. В случае наличия опыта, предусмотренного пунктом 2 графы "Дополнительные требования к участникам закупки"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3)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договор, предусмотренный абзацем пятым настоящей графы, предусматривает выполнение работ, не требующих в соответствии с указанным законодательством выдачи такого разрешения) или решение о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технической готовности линейного объекта инфраструктуры к временной эксплуатации. В случае наличия опыта, предусмотренного пунктом 3 графы "Дополнительные требования к участникам закупки" настоящей позиции: 1) раздел "Смета на строительство, реконструкцию, капитальный ремонт, снос объекта капитального строительства" проектной документации; 2)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Критерии оценки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Наименование критерия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Значимость критерия, %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40</w:t>
      </w:r>
    </w:p>
    <w:p w:rsidR="0058048C" w:rsidRPr="0058048C" w:rsidRDefault="0058048C" w:rsidP="0058048C">
      <w:pPr>
        <w:shd w:val="clear" w:color="auto" w:fill="FFFFFF"/>
        <w:spacing w:after="107" w:line="215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Показатели критерия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Наименование показателя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Значимость показателя, %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Дополнительная информация</w:t>
      </w:r>
    </w:p>
    <w:p w:rsidR="0058048C" w:rsidRPr="0058048C" w:rsidRDefault="0058048C" w:rsidP="005804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7"/>
          <w:szCs w:val="17"/>
          <w:lang w:eastAsia="ru-RU"/>
        </w:rPr>
      </w:pPr>
      <w:hyperlink r:id="rId9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58048C" w:rsidRPr="0058048C" w:rsidRDefault="0058048C" w:rsidP="0058048C">
      <w:pPr>
        <w:shd w:val="clear" w:color="auto" w:fill="FFFFFF"/>
        <w:spacing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100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Наименование критерия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Цена контракта, сумма цен единиц товара, работы, услуги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Значимость критерия, %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60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Требования заказчиков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t>АДМИНИСТРАЦИЯ ПРИАРГУНСКОГО МУНИЦИПАЛЬНОГО ОКРУГА ЗАБАЙКАЛЬСКОГО КРАЯ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Полное наименование организации заказчика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hyperlink r:id="rId10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Начальная (максимальная) цена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.52RUB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Идентификационный код закупки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263751800145475180100100080014299244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Размер аванса, %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30.0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Места поставки товара, выполнения работы или оказания услуги</w:t>
      </w:r>
    </w:p>
    <w:p w:rsidR="0058048C" w:rsidRPr="0058048C" w:rsidRDefault="0058048C" w:rsidP="0058048C">
      <w:pPr>
        <w:numPr>
          <w:ilvl w:val="0"/>
          <w:numId w:val="1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Российская Федерация, край Забайкальский,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м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.о.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Приаргунский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,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пгт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Приаргунск</w:t>
      </w:r>
    </w:p>
    <w:p w:rsidR="0058048C" w:rsidRPr="0058048C" w:rsidRDefault="0058048C" w:rsidP="0058048C">
      <w:pPr>
        <w:numPr>
          <w:ilvl w:val="0"/>
          <w:numId w:val="1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Дополнительная информация об адресе: д. 2, д. 4, д. 4а, д. 6, д. 8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Обеспечение заявки на участие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Размер обеспечения, руб.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lastRenderedPageBreak/>
        <w:t>47 585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.49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Доля от начальной (максимальной) цены контракта, %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0.5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Реквизиты счета для учета операции со средствами, поступающими заказчику</w:t>
      </w:r>
    </w:p>
    <w:p w:rsidR="0058048C" w:rsidRPr="0058048C" w:rsidRDefault="0058048C" w:rsidP="0058048C">
      <w:pPr>
        <w:numPr>
          <w:ilvl w:val="0"/>
          <w:numId w:val="2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БИК: 017601329</w:t>
      </w:r>
    </w:p>
    <w:p w:rsidR="0058048C" w:rsidRPr="0058048C" w:rsidRDefault="0058048C" w:rsidP="0058048C">
      <w:pPr>
        <w:numPr>
          <w:ilvl w:val="0"/>
          <w:numId w:val="2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расчётного счёта: 03232643765380009100</w:t>
      </w:r>
    </w:p>
    <w:p w:rsidR="0058048C" w:rsidRPr="0058048C" w:rsidRDefault="0058048C" w:rsidP="0058048C">
      <w:pPr>
        <w:numPr>
          <w:ilvl w:val="0"/>
          <w:numId w:val="2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корреспондентского счета: 40102810945370000063</w:t>
      </w:r>
    </w:p>
    <w:p w:rsidR="0058048C" w:rsidRPr="0058048C" w:rsidRDefault="0058048C" w:rsidP="0058048C">
      <w:pPr>
        <w:numPr>
          <w:ilvl w:val="0"/>
          <w:numId w:val="2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лицевого счёта: 05913Q37820</w:t>
      </w:r>
    </w:p>
    <w:p w:rsidR="0058048C" w:rsidRPr="0058048C" w:rsidRDefault="0058048C" w:rsidP="0058048C">
      <w:pPr>
        <w:numPr>
          <w:ilvl w:val="0"/>
          <w:numId w:val="2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Наименование кредитной организации: ОКЦ № 12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СибГУ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Банка России//УФК по Забайкальскому краю,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г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Чита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Реквизиты счета для перечисления денежных сре</w:t>
      </w:r>
      <w:proofErr w:type="gram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дств в сл</w:t>
      </w:r>
      <w:proofErr w:type="gramEnd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учае, предусмотренном частью 13 статьи 44 Федерального закона № 44-ФЗ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Реквизиты иного администратора дохода бюджета: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ИНН: 7518001454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КПП: 751801001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Приаргунский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муниципальный округ /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пгт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Приаргунск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связанного банковского счета: 40102810945370000063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казначейского счета: 03100643000000019100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БИК: 017601329</w:t>
      </w:r>
    </w:p>
    <w:p w:rsidR="0058048C" w:rsidRPr="0058048C" w:rsidRDefault="0058048C" w:rsidP="0058048C">
      <w:pPr>
        <w:numPr>
          <w:ilvl w:val="0"/>
          <w:numId w:val="3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Порядок внесения денежных сре</w:t>
      </w:r>
      <w:proofErr w:type="gram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дств в к</w:t>
      </w:r>
      <w:proofErr w:type="gramEnd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ачестве обеспечения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 даты окончания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Обеспечение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 xml:space="preserve">Размер обеспечения исполнения </w:t>
      </w:r>
      <w:proofErr w:type="spell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контракта,%</w:t>
      </w:r>
      <w:proofErr w:type="spellEnd"/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30.0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Платежные реквизиты</w:t>
      </w:r>
    </w:p>
    <w:p w:rsidR="0058048C" w:rsidRPr="0058048C" w:rsidRDefault="0058048C" w:rsidP="0058048C">
      <w:pPr>
        <w:numPr>
          <w:ilvl w:val="0"/>
          <w:numId w:val="4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БИК: 017601329</w:t>
      </w:r>
    </w:p>
    <w:p w:rsidR="0058048C" w:rsidRPr="0058048C" w:rsidRDefault="0058048C" w:rsidP="0058048C">
      <w:pPr>
        <w:numPr>
          <w:ilvl w:val="0"/>
          <w:numId w:val="4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расчётного счёта: 03232643765380009100</w:t>
      </w:r>
    </w:p>
    <w:p w:rsidR="0058048C" w:rsidRPr="0058048C" w:rsidRDefault="0058048C" w:rsidP="0058048C">
      <w:pPr>
        <w:numPr>
          <w:ilvl w:val="0"/>
          <w:numId w:val="4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лицевого счёта: 05913Q37820</w:t>
      </w:r>
    </w:p>
    <w:p w:rsidR="0058048C" w:rsidRPr="0058048C" w:rsidRDefault="0058048C" w:rsidP="0058048C">
      <w:pPr>
        <w:numPr>
          <w:ilvl w:val="0"/>
          <w:numId w:val="4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Наименование кредитной организации: ОКЦ № 12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СибГУ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Банка России//УФК по Забайкальскому краю,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г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Чита</w:t>
      </w:r>
    </w:p>
    <w:p w:rsidR="0058048C" w:rsidRPr="0058048C" w:rsidRDefault="0058048C" w:rsidP="0058048C">
      <w:pPr>
        <w:numPr>
          <w:ilvl w:val="0"/>
          <w:numId w:val="4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корреспондентского счета: 40102810945370000063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Порядок внесения денежных сре</w:t>
      </w:r>
      <w:proofErr w:type="gram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дств в к</w:t>
      </w:r>
      <w:proofErr w:type="gramEnd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ачестве обеспечения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заказчику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.С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рок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непредоставления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Обеспечение гарантийных обязательств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Размер обеспечения, руб.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95 170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.98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Доля от начальной (максимальной) цены контракта, %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1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Платежные реквизиты</w:t>
      </w:r>
    </w:p>
    <w:p w:rsidR="0058048C" w:rsidRPr="0058048C" w:rsidRDefault="0058048C" w:rsidP="0058048C">
      <w:pPr>
        <w:numPr>
          <w:ilvl w:val="0"/>
          <w:numId w:val="5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БИК: 017601329</w:t>
      </w:r>
    </w:p>
    <w:p w:rsidR="0058048C" w:rsidRPr="0058048C" w:rsidRDefault="0058048C" w:rsidP="0058048C">
      <w:pPr>
        <w:numPr>
          <w:ilvl w:val="0"/>
          <w:numId w:val="5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расчётного счёта: 03232643765380009100</w:t>
      </w:r>
    </w:p>
    <w:p w:rsidR="0058048C" w:rsidRPr="0058048C" w:rsidRDefault="0058048C" w:rsidP="0058048C">
      <w:pPr>
        <w:numPr>
          <w:ilvl w:val="0"/>
          <w:numId w:val="5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лицевого счёта: 05913Q37820</w:t>
      </w:r>
    </w:p>
    <w:p w:rsidR="0058048C" w:rsidRPr="0058048C" w:rsidRDefault="0058048C" w:rsidP="0058048C">
      <w:pPr>
        <w:numPr>
          <w:ilvl w:val="0"/>
          <w:numId w:val="5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Наименование кредитной организации: ОКЦ № 12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СибГУ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Банка России//УФК по Забайкальскому краю, </w:t>
      </w:r>
      <w:proofErr w:type="gram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г</w:t>
      </w:r>
      <w:proofErr w:type="gram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Чита</w:t>
      </w:r>
    </w:p>
    <w:p w:rsidR="0058048C" w:rsidRPr="0058048C" w:rsidRDefault="0058048C" w:rsidP="0058048C">
      <w:pPr>
        <w:numPr>
          <w:ilvl w:val="0"/>
          <w:numId w:val="5"/>
        </w:num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Номер корреспондентского счета: 40102810945370000063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Порядок внесения денежных сре</w:t>
      </w:r>
      <w:proofErr w:type="gram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дств в к</w:t>
      </w:r>
      <w:proofErr w:type="gramEnd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ачестве обеспечения гарантийных обязательств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Сведения об общественном обсуждении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нет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Сведения о плане-графике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Реестровый номер плана-графика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202601913000208001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Внешний номер позиции в плане-графике закупок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lastRenderedPageBreak/>
        <w:t>202601913000208001000008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Сроки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начала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Дата начала исполнения контракта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c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даты заключения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окончания исполнения контракта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bdr w:val="none" w:sz="0" w:space="0" w:color="auto" w:frame="1"/>
          <w:lang w:eastAsia="ru-RU"/>
        </w:rPr>
        <w:t>31.12.2026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Информация об источниках финансирования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Текущий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2026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Бюджетные средства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Код и наименование бюджета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91031774: Бюджет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Приаргунского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муниципального округа Забайкальского края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Код по ОКТМО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Приаргунский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муниципальный округ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текущий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первый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второй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последующие годы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Всего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Этапы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Контракт не разделен на этапы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начала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Дата начала исполнения контракта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c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даты заключения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окончания исполнения контракта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bdr w:val="none" w:sz="0" w:space="0" w:color="auto" w:frame="1"/>
          <w:lang w:eastAsia="ru-RU"/>
        </w:rPr>
        <w:t>31.12.2026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Исполнение контракта за счет бюджетных средств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Код бюджетной классификации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Код ОКС/ОНИ (КОКС)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текущий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первый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второй плановый год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Сумма на последующие годы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Всего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90304090000031500244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1 370 151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.86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1 370 151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.86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90305030000079509244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5 085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.43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5 085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.43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903050300000L5050244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8 141 860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.23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00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.00</w:t>
      </w:r>
    </w:p>
    <w:p w:rsidR="0058048C" w:rsidRPr="0058048C" w:rsidRDefault="0058048C" w:rsidP="0058048C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8 141 860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.23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Информация о бюджетном обязательстве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Номер принимаемого бюджетного обязательства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763Q378226910000055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Дата принимаемого бюджетного обязательства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29.01.2026</w:t>
      </w:r>
    </w:p>
    <w:p w:rsidR="0058048C" w:rsidRPr="0058048C" w:rsidRDefault="0058048C" w:rsidP="0058048C">
      <w:pPr>
        <w:shd w:val="clear" w:color="auto" w:fill="FFFFFF"/>
        <w:spacing w:after="0" w:line="193" w:lineRule="atLeast"/>
        <w:textAlignment w:val="baseline"/>
        <w:outlineLvl w:val="3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Требования к гарантии качества товара, работы, услуги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Срок, на который предоставляется гарантия</w:t>
      </w:r>
    </w:p>
    <w:p w:rsidR="0058048C" w:rsidRPr="0058048C" w:rsidRDefault="0058048C" w:rsidP="0058048C">
      <w:pPr>
        <w:shd w:val="clear" w:color="auto" w:fill="FFFFFF"/>
        <w:spacing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В соответствии с условиями контракта и приложений к нему</w:t>
      </w:r>
    </w:p>
    <w:p w:rsidR="0058048C" w:rsidRPr="0058048C" w:rsidRDefault="0058048C" w:rsidP="0058048C">
      <w:pPr>
        <w:shd w:val="clear" w:color="auto" w:fill="FFFFFF"/>
        <w:spacing w:after="0" w:line="258" w:lineRule="atLeast"/>
        <w:textAlignment w:val="baseline"/>
        <w:outlineLvl w:val="1"/>
        <w:rPr>
          <w:rFonts w:ascii="inherit" w:eastAsia="Times New Roman" w:hAnsi="inherit" w:cs="Arial"/>
          <w:color w:val="2E2E2E"/>
          <w:sz w:val="19"/>
          <w:szCs w:val="19"/>
          <w:lang w:eastAsia="ru-RU"/>
        </w:rPr>
      </w:pPr>
      <w:r w:rsidRPr="0058048C">
        <w:rPr>
          <w:rFonts w:ascii="inherit" w:eastAsia="Times New Roman" w:hAnsi="inherit" w:cs="Arial"/>
          <w:color w:val="2E2E2E"/>
          <w:sz w:val="19"/>
          <w:szCs w:val="19"/>
          <w:lang w:eastAsia="ru-RU"/>
        </w:rPr>
        <w:lastRenderedPageBreak/>
        <w:t>Объект закупки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Информация о применении к закупке национального режима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отсутствует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Объектом закупки являются лекарственные препараты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нет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ind w:left="72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нет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Код позиции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Наименование товара, работы или услуги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Единица измерения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Количество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 xml:space="preserve">Цена за единицу, </w:t>
      </w:r>
      <w:proofErr w:type="spell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руб</w:t>
      </w:r>
      <w:proofErr w:type="spellEnd"/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99A0A8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 xml:space="preserve">Стоимость, </w:t>
      </w:r>
      <w:proofErr w:type="spellStart"/>
      <w:r w:rsidRPr="0058048C">
        <w:rPr>
          <w:rFonts w:ascii="inherit" w:eastAsia="Times New Roman" w:hAnsi="inherit" w:cs="Arial"/>
          <w:color w:val="99A0A8"/>
          <w:sz w:val="15"/>
          <w:szCs w:val="15"/>
          <w:lang w:eastAsia="ru-RU"/>
        </w:rPr>
        <w:t>руб</w:t>
      </w:r>
      <w:proofErr w:type="spellEnd"/>
    </w:p>
    <w:p w:rsidR="0058048C" w:rsidRPr="0058048C" w:rsidRDefault="0058048C" w:rsidP="005804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7"/>
          <w:szCs w:val="17"/>
          <w:lang w:eastAsia="ru-RU"/>
        </w:rPr>
      </w:pPr>
      <w:hyperlink r:id="rId11" w:history="1"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 xml:space="preserve">42.99.29.100: Благоустройство дворовой территории по адресу: </w:t>
        </w:r>
        <w:proofErr w:type="spellStart"/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>пгт</w:t>
        </w:r>
        <w:proofErr w:type="spellEnd"/>
        <w:r w:rsidRPr="0058048C">
          <w:rPr>
            <w:rFonts w:ascii="inherit" w:eastAsia="Times New Roman" w:hAnsi="inherit" w:cs="Arial"/>
            <w:color w:val="316DA4"/>
            <w:sz w:val="15"/>
            <w:u w:val="single"/>
            <w:lang w:eastAsia="ru-RU"/>
          </w:rPr>
          <w:t xml:space="preserve"> Приаргунск, ул. Чернышевского д.2, д.4, д.4а, д.6, д.8 в рамках муниципальной программы "Формирование современной городской среды"</w:t>
        </w:r>
      </w:hyperlink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Работа: Благоустройство дворовой территории по адресу: </w:t>
      </w:r>
      <w:proofErr w:type="spellStart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пгт</w:t>
      </w:r>
      <w:proofErr w:type="spellEnd"/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 xml:space="preserve"> Приаргунск, ул. Чернышевского д.2, д.4, д.4а, д.6, д.8 в рамках муниципальной программы "Формирование современной городской среды"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Условная единица</w:t>
      </w:r>
    </w:p>
    <w:p w:rsidR="0058048C" w:rsidRPr="0058048C" w:rsidRDefault="0058048C" w:rsidP="0058048C">
      <w:pPr>
        <w:numPr>
          <w:ilvl w:val="0"/>
          <w:numId w:val="6"/>
        </w:numPr>
        <w:shd w:val="clear" w:color="auto" w:fill="FFFFFF"/>
        <w:spacing w:after="0" w:line="215" w:lineRule="atLeast"/>
        <w:ind w:left="0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szCs w:val="15"/>
          <w:lang w:eastAsia="ru-RU"/>
        </w:rPr>
        <w:t>1 - АДМИНИСТРАЦИЯ ПРИАРГУНСКОГО МУНИЦИПАЛЬНОГО ОКРУГА ЗАБАЙКАЛЬСКОГО КРАЯ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</w:t>
      </w:r>
    </w:p>
    <w:p w:rsidR="0058048C" w:rsidRPr="0058048C" w:rsidRDefault="0058048C" w:rsidP="0058048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textAlignment w:val="baseline"/>
        <w:rPr>
          <w:rFonts w:ascii="inherit" w:eastAsia="Times New Roman" w:hAnsi="inherit" w:cs="Arial"/>
          <w:color w:val="4B4B4B"/>
          <w:sz w:val="15"/>
          <w:szCs w:val="15"/>
          <w:lang w:eastAsia="ru-RU"/>
        </w:rPr>
      </w:pP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Итого: </w:t>
      </w:r>
    </w:p>
    <w:p w:rsidR="0058048C" w:rsidRPr="0058048C" w:rsidRDefault="0058048C" w:rsidP="0058048C">
      <w:pPr>
        <w:shd w:val="clear" w:color="auto" w:fill="FFFFFF"/>
        <w:spacing w:after="0" w:line="215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58048C">
        <w:rPr>
          <w:rFonts w:ascii="inherit" w:eastAsia="Times New Roman" w:hAnsi="inherit" w:cs="Arial"/>
          <w:color w:val="4B4B4B"/>
          <w:sz w:val="15"/>
          <w:lang w:eastAsia="ru-RU"/>
        </w:rPr>
        <w:t>9 517 097</w:t>
      </w:r>
      <w:r w:rsidRPr="0058048C">
        <w:rPr>
          <w:rFonts w:ascii="inherit" w:eastAsia="Times New Roman" w:hAnsi="inherit" w:cs="Arial"/>
          <w:color w:val="99A0A8"/>
          <w:sz w:val="15"/>
          <w:lang w:eastAsia="ru-RU"/>
        </w:rPr>
        <w:t>.52RUB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4C1"/>
    <w:multiLevelType w:val="multilevel"/>
    <w:tmpl w:val="B45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07B6C"/>
    <w:multiLevelType w:val="multilevel"/>
    <w:tmpl w:val="556E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0731D"/>
    <w:multiLevelType w:val="multilevel"/>
    <w:tmpl w:val="C8E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433099"/>
    <w:multiLevelType w:val="multilevel"/>
    <w:tmpl w:val="4B4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122F6"/>
    <w:multiLevelType w:val="multilevel"/>
    <w:tmpl w:val="3E2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B0169"/>
    <w:multiLevelType w:val="multilevel"/>
    <w:tmpl w:val="6CD4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8048C"/>
    <w:rsid w:val="002828BF"/>
    <w:rsid w:val="0058048C"/>
    <w:rsid w:val="008846F4"/>
    <w:rsid w:val="00A1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580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804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0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4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58048C"/>
  </w:style>
  <w:style w:type="character" w:styleId="a3">
    <w:name w:val="Hyperlink"/>
    <w:basedOn w:val="a0"/>
    <w:uiPriority w:val="99"/>
    <w:semiHidden/>
    <w:unhideWhenUsed/>
    <w:rsid w:val="0058048C"/>
    <w:rPr>
      <w:color w:val="0000FF"/>
      <w:u w:val="single"/>
    </w:rPr>
  </w:style>
  <w:style w:type="character" w:customStyle="1" w:styleId="txt2wfao">
    <w:name w:val="txt__2wfao"/>
    <w:basedOn w:val="a0"/>
    <w:rsid w:val="0058048C"/>
  </w:style>
  <w:style w:type="character" w:customStyle="1" w:styleId="totaltitlem9vbx">
    <w:name w:val="totaltitle_m9vbx"/>
    <w:basedOn w:val="a0"/>
    <w:rsid w:val="00580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725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7149120">
                      <w:marLeft w:val="0"/>
                      <w:marRight w:val="0"/>
                      <w:marTop w:val="3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5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96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46023">
                              <w:marLeft w:val="5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6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6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0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2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935284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128307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425518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81096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493205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52444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42025">
          <w:marLeft w:val="0"/>
          <w:marRight w:val="0"/>
          <w:marTop w:val="0"/>
          <w:marBottom w:val="43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347">
                  <w:marLeft w:val="0"/>
                  <w:marRight w:val="0"/>
                  <w:marTop w:val="215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6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710213">
                              <w:marLeft w:val="0"/>
                              <w:marRight w:val="0"/>
                              <w:marTop w:val="3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5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2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0" w:color="auto"/>
                                                    <w:bottom w:val="single" w:sz="8" w:space="8" w:color="DEE9EF"/>
                                                    <w:right w:val="none" w:sz="0" w:space="11" w:color="auto"/>
                                                  </w:divBdr>
                                                  <w:divsChild>
                                                    <w:div w:id="16713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53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0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60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79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0" w:color="auto"/>
                                                    <w:bottom w:val="single" w:sz="8" w:space="8" w:color="DEE9EF"/>
                                                    <w:right w:val="none" w:sz="0" w:space="11" w:color="auto"/>
                                                  </w:divBdr>
                                                  <w:divsChild>
                                                    <w:div w:id="92157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1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9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41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0" w:color="auto"/>
                                                    <w:bottom w:val="single" w:sz="8" w:space="8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15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5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60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63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33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2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2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721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3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32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0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4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3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1802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916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17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9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356056">
                          <w:marLeft w:val="0"/>
                          <w:marRight w:val="0"/>
                          <w:marTop w:val="215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8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96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39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93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7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88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390998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8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0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38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0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272789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8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9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084507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2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7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360001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8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93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117007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56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48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96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255969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8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775267">
                                  <w:marLeft w:val="0"/>
                                  <w:marRight w:val="0"/>
                                  <w:marTop w:val="215"/>
                                  <w:marBottom w:val="2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2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3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8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44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1618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5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4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5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9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5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54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single" w:sz="8" w:space="8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5849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64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155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34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31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single" w:sz="8" w:space="8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123785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296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67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5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24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single" w:sz="8" w:space="8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202455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28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94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74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60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single" w:sz="8" w:space="8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193790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74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7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492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06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single" w:sz="8" w:space="8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31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3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357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74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01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18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63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9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11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66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72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79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297662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064">
                                  <w:marLeft w:val="0"/>
                                  <w:marRight w:val="0"/>
                                  <w:marTop w:val="215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3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0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378982">
                                              <w:marLeft w:val="0"/>
                                              <w:marRight w:val="0"/>
                                              <w:marTop w:val="32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1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24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51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86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68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9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804121">
                                          <w:marLeft w:val="0"/>
                                          <w:marRight w:val="0"/>
                                          <w:marTop w:val="215"/>
                                          <w:marBottom w:val="4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4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9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0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4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12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2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2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00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44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176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561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687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83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1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51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78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20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28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78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202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079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971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530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9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027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90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77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03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68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79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12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617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7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655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2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637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0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8" w:space="8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49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442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4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67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06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87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586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5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117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912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166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43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737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70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39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20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43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480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26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67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35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20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97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04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1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33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581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768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57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47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72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80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1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043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1882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83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839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947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62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00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8" w:color="auto"/>
                                                                            <w:left w:val="none" w:sz="0" w:space="0" w:color="auto"/>
                                                                            <w:bottom w:val="single" w:sz="4" w:space="8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92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1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35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47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8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76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83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53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15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592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04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33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34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65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97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90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64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781502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90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363938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739331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60392">
                      <w:marLeft w:val="0"/>
                      <w:marRight w:val="0"/>
                      <w:marTop w:val="3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96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single" w:sz="8" w:space="8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114454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11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05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33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single" w:sz="8" w:space="8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184084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4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3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5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single" w:sz="8" w:space="8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3381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7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3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9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38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single" w:sz="8" w:space="8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98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34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18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single" w:sz="8" w:space="8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39729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24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4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3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35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auto"/>
                                            <w:left w:val="none" w:sz="0" w:space="0" w:color="auto"/>
                                            <w:bottom w:val="single" w:sz="8" w:space="8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3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1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85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5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3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6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7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86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3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27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24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5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0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02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07f9e170-54a4-43c4-843e-53108bcf4f54?version=1&amp;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0273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07f9e170-54a4-43c4-843e-53108bcf4f54?version=1&amp;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2067</Words>
  <Characters>11783</Characters>
  <Application>Microsoft Office Word</Application>
  <DocSecurity>0</DocSecurity>
  <Lines>98</Lines>
  <Paragraphs>27</Paragraphs>
  <ScaleCrop>false</ScaleCrop>
  <Company/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2026-02-02T23:38:00Z</dcterms:created>
  <dcterms:modified xsi:type="dcterms:W3CDTF">2026-02-02T23:38:00Z</dcterms:modified>
</cp:coreProperties>
</file>