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Общая информация о закупке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Внимание!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КоАП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РФ и ст. 178 УК РФ</w:t>
      </w:r>
      <w:proofErr w:type="gramEnd"/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размещения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04.02.2026 09:27:44</w:t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131175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62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версия 1, действующая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Способ определения поставщика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Открытый конкурс в электронной форме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извещения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5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0891200000626000451</w:t>
        </w:r>
      </w:hyperlink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объекта закупки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Создание и обустройство детской игровой площадки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(00000515-ОК)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263751800145475180100100090014299244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площадки в сети Интернет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6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https://etpgpb.ru/</w:t>
        </w:r>
      </w:hyperlink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Печатная форма извещения в ЕИС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7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Перейти</w:t>
        </w:r>
      </w:hyperlink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.75RUB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заявки на участие, </w:t>
      </w:r>
      <w:proofErr w:type="spell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18 532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.87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Организация, осуществляющая размещение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8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Контактная информация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Контактное лицо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Казаков Евгений Витальевич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Почтовый адрес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местонахождения организации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почты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zabgoszakup.ser@yandex.ru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контактного телефона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7-3022-364277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Факс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7-3022-310082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Почтовый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адрес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:Р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оссийская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Федерация, 674310, Забайкальский край,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Телефон: 830-243-21744. Адрес электронной почты: arkhitektor_priarg@mail.ru Ответственное лицо: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Слобченко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Татьяна Сергеевна.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Информация о процедуре проведения закупки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окончания срока подачи заявок на участие в процедуре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20.02.2026 09:00</w:t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131175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срока рассмотрения и оценки вторых частей заявок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25.02.2026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подведения итогов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26.02.2026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Преимущества</w:t>
      </w:r>
    </w:p>
    <w:p w:rsidR="00131175" w:rsidRPr="00131175" w:rsidRDefault="00131175" w:rsidP="0013117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Преимущество в соответствии с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ч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 3 ст. 30 Закона № 44-ФЗ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</w:t>
      </w:r>
    </w:p>
    <w:p w:rsidR="00131175" w:rsidRPr="00131175" w:rsidRDefault="00131175" w:rsidP="0013117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Единые требования к участникам закупок в соответствии с ч. 1 ст. 31 Закона № 44-ФЗ</w:t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к участникам закупок в соответствии с п. 1 ч. 1 ст. 31 Закона № 44-ФЗ</w:t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Содержание требования: не установлено</w:t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отношении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заказчика санкций и (или) мер ограничительного характера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Дополнительные требования</w:t>
      </w:r>
    </w:p>
    <w:p w:rsidR="00131175" w:rsidRPr="00131175" w:rsidRDefault="00131175" w:rsidP="0013117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Не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установлены</w:t>
      </w:r>
      <w:proofErr w:type="gramEnd"/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Критерии оценки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критерия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40</w:t>
      </w:r>
    </w:p>
    <w:p w:rsidR="00131175" w:rsidRPr="00131175" w:rsidRDefault="00131175" w:rsidP="00131175">
      <w:pPr>
        <w:shd w:val="clear" w:color="auto" w:fill="FFFFFF"/>
        <w:spacing w:after="83" w:line="166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Показатели критерия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показателя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показателя, %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131175" w:rsidRPr="00131175" w:rsidRDefault="00131175" w:rsidP="001311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9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131175" w:rsidRPr="00131175" w:rsidRDefault="00131175" w:rsidP="00131175">
      <w:pPr>
        <w:shd w:val="clear" w:color="auto" w:fill="FFFFFF"/>
        <w:spacing w:after="166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100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lastRenderedPageBreak/>
        <w:t>Наименование критерия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Цена контракта, сумма цен единиц товара, работы, услуги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60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 заказчиков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АДМИНИСТРАЦИЯ ПРИАРГУНСКОГО МУНИЦИПАЛЬНОГО ОКРУГА ЗАБАЙКАЛЬСКОГО КРАЯ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 заказчика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10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.75RUB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263751800145475180100100090014299244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аванса, %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Места поставки товара, выполнения работы или оказания услуги</w:t>
      </w:r>
    </w:p>
    <w:p w:rsidR="00131175" w:rsidRPr="00131175" w:rsidRDefault="00131175" w:rsidP="00131175">
      <w:pPr>
        <w:numPr>
          <w:ilvl w:val="0"/>
          <w:numId w:val="1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край Забайкальский,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м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.о.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с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заявки на участие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18 532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.87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0.5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учета операции со средствами, поступающими заказчику</w:t>
      </w:r>
    </w:p>
    <w:p w:rsidR="00131175" w:rsidRPr="00131175" w:rsidRDefault="00131175" w:rsidP="0013117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131175" w:rsidRPr="00131175" w:rsidRDefault="00131175" w:rsidP="0013117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131175" w:rsidRPr="00131175" w:rsidRDefault="00131175" w:rsidP="0013117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131175" w:rsidRPr="00131175" w:rsidRDefault="00131175" w:rsidP="0013117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131175" w:rsidRPr="00131175" w:rsidRDefault="00131175" w:rsidP="0013117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перечисления денежных сре</w:t>
      </w:r>
      <w:proofErr w:type="gram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сл</w:t>
      </w:r>
      <w:proofErr w:type="gramEnd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учае, предусмотренном частью 13 статьи 44 Федерального закона № 44-ФЗ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Реквизиты иного администратора дохода бюджета: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ИНН: 7518001454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КПП: 751801001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 /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Приаргунск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связанного банковского счета: 40102810945370000063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казначейского счета: 03100643000000019100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131175" w:rsidRPr="00131175" w:rsidRDefault="00131175" w:rsidP="0013117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 даты окончания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исполнения </w:t>
      </w:r>
      <w:proofErr w:type="spell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контракта,%</w:t>
      </w:r>
      <w:proofErr w:type="spellEnd"/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131175" w:rsidRPr="00131175" w:rsidRDefault="00131175" w:rsidP="0013117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131175" w:rsidRPr="00131175" w:rsidRDefault="00131175" w:rsidP="0013117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131175" w:rsidRPr="00131175" w:rsidRDefault="00131175" w:rsidP="0013117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131175" w:rsidRPr="00131175" w:rsidRDefault="00131175" w:rsidP="0013117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131175" w:rsidRPr="00131175" w:rsidRDefault="00131175" w:rsidP="0013117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заказчику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.С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рок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непредоставления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гарантийных обязательств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37 065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.74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131175" w:rsidRPr="00131175" w:rsidRDefault="00131175" w:rsidP="0013117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131175" w:rsidRPr="00131175" w:rsidRDefault="00131175" w:rsidP="0013117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131175" w:rsidRPr="00131175" w:rsidRDefault="00131175" w:rsidP="0013117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131175" w:rsidRPr="00131175" w:rsidRDefault="00131175" w:rsidP="0013117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131175" w:rsidRPr="00131175" w:rsidRDefault="00131175" w:rsidP="0013117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 гарантийных обязательств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Сведения об общественном обсуждении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lastRenderedPageBreak/>
        <w:t>Сведения о плане-графике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Реестровый номер плана-графика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Внешний номер позиции в плане-графике закупок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202601913000208001000009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Сроки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об источниках финансирования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Текущий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Бюджетные средства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и наименование бюджета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91031774: Бюджет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Приаргунского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муниципального округа Забайкальского края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 ОКТМО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Этапы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Контракт не разделен на этапы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Исполнение контракта за счет бюджетных средств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бюджетной классификации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ОКС/ОНИ (КОКС)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90305030000079510244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1 111 972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.13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1 111 972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.13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903050300000L5763244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2 594 601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.62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131175" w:rsidRPr="00131175" w:rsidRDefault="00131175" w:rsidP="0013117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2 594 601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.62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 бюджетном обязательстве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принимаемого бюджетного обязательства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763Q378226910000061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принимаемого бюджетного обязательства</w:t>
      </w:r>
    </w:p>
    <w:p w:rsidR="00131175" w:rsidRPr="00131175" w:rsidRDefault="00131175" w:rsidP="0013117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03.02.2026</w:t>
      </w:r>
    </w:p>
    <w:p w:rsidR="00131175" w:rsidRPr="00131175" w:rsidRDefault="00131175" w:rsidP="0013117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к гарантии качества товара, работы, услуги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Информация о требованиях к гарантийному обслуживанию товаров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 установлено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Требования к гарантии производителя товара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 установлено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Срок, на который предоставляется гарантия</w:t>
      </w:r>
    </w:p>
    <w:p w:rsidR="00131175" w:rsidRPr="00131175" w:rsidRDefault="00131175" w:rsidP="0013117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 соответствии с проектом контракта</w:t>
      </w:r>
    </w:p>
    <w:p w:rsidR="00131175" w:rsidRPr="00131175" w:rsidRDefault="00131175" w:rsidP="0013117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13117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Объект закупки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Информация о применении к закупке национального режима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отсутствует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Объектом закупки являются лекарственные препараты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позиции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товара, работы или услуги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Единица измерения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Количество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Цена за единицу, </w:t>
      </w:r>
      <w:proofErr w:type="spell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Стоимость, </w:t>
      </w:r>
      <w:proofErr w:type="spellStart"/>
      <w:r w:rsidRPr="0013117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131175" w:rsidRPr="00131175" w:rsidRDefault="00131175" w:rsidP="001311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11" w:history="1"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42.99.29.100: Создание и обустройство детской игровой площадки </w:t>
        </w:r>
        <w:proofErr w:type="gramStart"/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в</w:t>
        </w:r>
        <w:proofErr w:type="gramEnd"/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 с. </w:t>
        </w:r>
        <w:proofErr w:type="spellStart"/>
        <w:r w:rsidRPr="0013117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Урулюнгуй</w:t>
        </w:r>
        <w:proofErr w:type="spellEnd"/>
      </w:hyperlink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Работа: Создание и обустройство детской игровой площадки </w:t>
      </w:r>
      <w:proofErr w:type="gram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Урулюнгуй</w:t>
      </w:r>
      <w:proofErr w:type="spellEnd"/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Условная единица</w:t>
      </w:r>
    </w:p>
    <w:p w:rsidR="00131175" w:rsidRPr="00131175" w:rsidRDefault="00131175" w:rsidP="00131175">
      <w:pPr>
        <w:numPr>
          <w:ilvl w:val="0"/>
          <w:numId w:val="6"/>
        </w:numPr>
        <w:shd w:val="clear" w:color="auto" w:fill="FFFFFF"/>
        <w:spacing w:after="0" w:line="166" w:lineRule="atLeast"/>
        <w:ind w:left="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1 - АДМИНИСТРАЦИЯ ПРИАРГУНСКОГО МУНИЦИПАЛЬНОГО ОКРУГА ЗАБАЙКАЛЬСКОГО КРАЯ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lastRenderedPageBreak/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</w:t>
      </w:r>
    </w:p>
    <w:p w:rsidR="00131175" w:rsidRPr="00131175" w:rsidRDefault="00131175" w:rsidP="0013117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Итого: </w:t>
      </w:r>
    </w:p>
    <w:p w:rsidR="00131175" w:rsidRPr="00131175" w:rsidRDefault="00131175" w:rsidP="00131175">
      <w:pPr>
        <w:shd w:val="clear" w:color="auto" w:fill="FFFFFF"/>
        <w:spacing w:after="0" w:line="166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131175">
        <w:rPr>
          <w:rFonts w:ascii="inherit" w:eastAsia="Times New Roman" w:hAnsi="inherit" w:cs="Arial"/>
          <w:color w:val="4B4B4B"/>
          <w:sz w:val="12"/>
          <w:lang w:eastAsia="ru-RU"/>
        </w:rPr>
        <w:t>3 706 573</w:t>
      </w:r>
      <w:r w:rsidRPr="00131175">
        <w:rPr>
          <w:rFonts w:ascii="inherit" w:eastAsia="Times New Roman" w:hAnsi="inherit" w:cs="Arial"/>
          <w:color w:val="99A0A8"/>
          <w:sz w:val="12"/>
          <w:lang w:eastAsia="ru-RU"/>
        </w:rPr>
        <w:t>.75RUB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F34"/>
    <w:multiLevelType w:val="multilevel"/>
    <w:tmpl w:val="4640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248B4"/>
    <w:multiLevelType w:val="multilevel"/>
    <w:tmpl w:val="B7A8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42A6F"/>
    <w:multiLevelType w:val="multilevel"/>
    <w:tmpl w:val="407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C368A"/>
    <w:multiLevelType w:val="multilevel"/>
    <w:tmpl w:val="D596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E11BA"/>
    <w:multiLevelType w:val="multilevel"/>
    <w:tmpl w:val="9AE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36FEB"/>
    <w:multiLevelType w:val="multilevel"/>
    <w:tmpl w:val="AA2E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31175"/>
    <w:rsid w:val="00131175"/>
    <w:rsid w:val="00850B6E"/>
    <w:rsid w:val="008846F4"/>
    <w:rsid w:val="00A1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131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31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1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1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131175"/>
  </w:style>
  <w:style w:type="character" w:styleId="a3">
    <w:name w:val="Hyperlink"/>
    <w:basedOn w:val="a0"/>
    <w:uiPriority w:val="99"/>
    <w:semiHidden/>
    <w:unhideWhenUsed/>
    <w:rsid w:val="00131175"/>
    <w:rPr>
      <w:color w:val="0000FF"/>
      <w:u w:val="single"/>
    </w:rPr>
  </w:style>
  <w:style w:type="character" w:customStyle="1" w:styleId="txt2wfao">
    <w:name w:val="txt__2wfao"/>
    <w:basedOn w:val="a0"/>
    <w:rsid w:val="00131175"/>
  </w:style>
  <w:style w:type="character" w:customStyle="1" w:styleId="totaltitlem9vbx">
    <w:name w:val="totaltitle_m9vbx"/>
    <w:basedOn w:val="a0"/>
    <w:rsid w:val="00131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946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35653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3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5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07379">
                              <w:marLeft w:val="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0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684096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65040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358473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1711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662969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809236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28305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2087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6453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9891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91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23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2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30399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9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13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2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29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2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4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7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28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2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2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252385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416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441957">
                          <w:marLeft w:val="0"/>
                          <w:marRight w:val="0"/>
                          <w:marTop w:val="166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7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62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7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9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631010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0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814060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07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14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45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004811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9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35156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3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340146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88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93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54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028496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7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2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835570">
                                  <w:marLeft w:val="0"/>
                                  <w:marRight w:val="0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94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9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73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016717">
                                  <w:marLeft w:val="0"/>
                                  <w:marRight w:val="0"/>
                                  <w:marTop w:val="0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2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50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6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6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26222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1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5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1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7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25586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10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2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1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8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54101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5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11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66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2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64596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07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05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08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63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35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86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29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189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46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5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8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87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57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11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63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4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997317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8202">
                                  <w:marLeft w:val="0"/>
                                  <w:marRight w:val="0"/>
                                  <w:marTop w:val="166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211111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46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4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770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7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9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198986">
                                          <w:marLeft w:val="0"/>
                                          <w:marRight w:val="0"/>
                                          <w:marTop w:val="166"/>
                                          <w:marBottom w:val="3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83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4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1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91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07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0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14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8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43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09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31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023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23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76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69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61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550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9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02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57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73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33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63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29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6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33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92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01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9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65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25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5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87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626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14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878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20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8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262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20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10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28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38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50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86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73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62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06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78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686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49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6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714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65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2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4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50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14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24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1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87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2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2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5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43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72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88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06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67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109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073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70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601299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9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1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868317">
                          <w:marLeft w:val="0"/>
                          <w:marRight w:val="0"/>
                          <w:marTop w:val="0"/>
                          <w:marBottom w:val="3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1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25931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8598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55030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5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21347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5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35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70624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9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5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10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1191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9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91404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30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9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67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7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7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83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3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1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8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67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63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4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7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04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141c45be-d1e2-4fd8-b097-a6bb343f30ef?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0451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141c45be-d1e2-4fd8-b097-a6bb343f30ef?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9079</Characters>
  <Application>Microsoft Office Word</Application>
  <DocSecurity>0</DocSecurity>
  <Lines>75</Lines>
  <Paragraphs>21</Paragraphs>
  <ScaleCrop>false</ScaleCrop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2026-02-04T00:48:00Z</dcterms:created>
  <dcterms:modified xsi:type="dcterms:W3CDTF">2026-02-04T00:48:00Z</dcterms:modified>
</cp:coreProperties>
</file>