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8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1200" cy="73342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981200" cy="733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00pt;height:57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968"/>
      </w:pPr>
      <w:r/>
      <w:r/>
    </w:p>
    <w:p>
      <w:pPr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Более 700 земельных участков и территорий доступны на онлайн-сервисе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«Земля для стройки» в Забайкалье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210 участков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общей площадью 402 гектара уже вовлечены в экономический оборот. Список участков под строительство жилья продолжает расширяться.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Проект «Земля для стройки» реализуется в Забайкальском крае с 2021 года. Его цель – находить территории, пригодные для строительства жилья.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На 3 февраля 2026 года сервисом «Земля для стройки» на единой цифровой платформе «Национальная система пространственных данных» размещена информация о 706 </w:t>
      </w:r>
      <w:r>
        <w:rPr>
          <w:rFonts w:ascii="Tinos" w:hAnsi="Tinos" w:eastAsia="Tinos" w:cs="Tinos"/>
          <w:sz w:val="28"/>
          <w:szCs w:val="28"/>
        </w:rPr>
        <w:t xml:space="preserve">земельных участках и территориях общей площадью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1</w:t>
      </w:r>
      <w:r>
        <w:rPr>
          <w:rFonts w:ascii="Tinos" w:hAnsi="Tinos" w:eastAsia="Tinos" w:cs="Tinos"/>
          <w:sz w:val="28"/>
          <w:szCs w:val="28"/>
        </w:rPr>
        <w:t xml:space="preserve">500 г</w:t>
      </w:r>
      <w:r>
        <w:rPr>
          <w:rFonts w:ascii="Tinos" w:hAnsi="Tinos" w:eastAsia="Tinos" w:cs="Tinos"/>
          <w:sz w:val="28"/>
          <w:szCs w:val="28"/>
        </w:rPr>
        <w:t xml:space="preserve">ектаров. Д</w:t>
      </w:r>
      <w:r>
        <w:rPr>
          <w:rFonts w:ascii="Tinos" w:hAnsi="Tinos" w:eastAsia="Tinos" w:cs="Tinos"/>
          <w:bCs/>
          <w:sz w:val="28"/>
          <w:szCs w:val="28"/>
        </w:rPr>
        <w:t xml:space="preserve">ля индивидуального жилищного строительства (ИЖС) выделено </w:t>
      </w:r>
      <w:r>
        <w:rPr>
          <w:rFonts w:ascii="Tinos" w:hAnsi="Tinos" w:eastAsia="Tinos" w:cs="Tinos"/>
          <w:bCs/>
          <w:sz w:val="28"/>
          <w:szCs w:val="28"/>
        </w:rPr>
        <w:t xml:space="preserve">1100 га, для расположения многоквартирных домов</w:t>
      </w:r>
      <w:r>
        <w:rPr>
          <w:rFonts w:ascii="Tinos" w:hAnsi="Tinos" w:eastAsia="Tinos" w:cs="Tinos"/>
          <w:bCs/>
          <w:sz w:val="28"/>
          <w:szCs w:val="28"/>
        </w:rPr>
        <w:t xml:space="preserve"> (МКД) </w:t>
      </w:r>
      <w:r>
        <w:rPr>
          <w:rFonts w:ascii="Tinos" w:hAnsi="Tinos" w:eastAsia="Tinos" w:cs="Tinos"/>
          <w:bCs/>
          <w:sz w:val="28"/>
          <w:szCs w:val="28"/>
        </w:rPr>
        <w:t xml:space="preserve">–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400 га</w:t>
      </w:r>
      <w:r>
        <w:rPr>
          <w:rFonts w:ascii="Tinos" w:hAnsi="Tinos" w:eastAsia="Tinos" w:cs="Tinos"/>
          <w:bCs/>
          <w:sz w:val="28"/>
          <w:szCs w:val="28"/>
        </w:rPr>
        <w:t xml:space="preserve">.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70"/>
        <w:numPr>
          <w:ilvl w:val="0"/>
          <w:numId w:val="9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Сервис «Земля для стройки» помогает гражданам и застройщикам подбирать участки для индивидуального жилищного строительства и возведения многоквартирных домов. 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В частности, 3 обширных земельные территории были вовлечены под жилищное строительство в составе проекта «Дальневосточный квартал».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2025 году 2 земельных участка были использованы под строительство домов по государственной программе «Доступное арендное жильё»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  <w:t xml:space="preserve">,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– отмечает Оксана Крылова, руководитель Управления Росреестра по Забайкальскому краю.</w:t>
      </w:r>
      <w:r>
        <w:rPr>
          <w:rFonts w:ascii="Tinos" w:hAnsi="Tinos" w:eastAsia="Tinos" w:cs="Tinos"/>
          <w:sz w:val="28"/>
          <w:szCs w:val="28"/>
          <w:highlight w:val="white"/>
          <w:lang w:eastAsia="ru-RU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82"/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Напомним, что большинство земельных участков</w:t>
      </w:r>
      <w:r>
        <w:rPr>
          <w:rFonts w:ascii="Tinos" w:hAnsi="Tinos" w:eastAsia="Tinos" w:cs="Tinos"/>
          <w:bCs/>
          <w:sz w:val="28"/>
          <w:szCs w:val="28"/>
        </w:rPr>
        <w:t xml:space="preserve">,</w:t>
      </w:r>
      <w:r>
        <w:rPr>
          <w:rFonts w:ascii="Tinos" w:hAnsi="Tinos" w:eastAsia="Tinos" w:cs="Tinos"/>
          <w:bCs/>
          <w:sz w:val="28"/>
          <w:szCs w:val="28"/>
        </w:rPr>
        <w:t xml:space="preserve"> зон</w:t>
      </w:r>
      <w:r>
        <w:rPr>
          <w:rFonts w:ascii="Tinos" w:hAnsi="Tinos" w:eastAsia="Tinos" w:cs="Tinos"/>
          <w:bCs/>
          <w:sz w:val="28"/>
          <w:szCs w:val="28"/>
        </w:rPr>
        <w:t xml:space="preserve"> и территорий</w:t>
      </w:r>
      <w:r>
        <w:rPr>
          <w:rFonts w:ascii="Tinos" w:hAnsi="Tinos" w:eastAsia="Tinos" w:cs="Tinos"/>
          <w:bCs/>
          <w:sz w:val="28"/>
          <w:szCs w:val="28"/>
        </w:rPr>
        <w:t xml:space="preserve"> находятся в </w:t>
      </w:r>
      <w:r>
        <w:rPr>
          <w:rFonts w:ascii="Tinos" w:hAnsi="Tinos" w:eastAsia="Tinos" w:cs="Tinos"/>
          <w:bCs/>
          <w:sz w:val="28"/>
          <w:szCs w:val="28"/>
        </w:rPr>
        <w:t xml:space="preserve">неразграниченной собственности, а также в </w:t>
      </w:r>
      <w:r>
        <w:rPr>
          <w:rFonts w:ascii="Tinos" w:hAnsi="Tinos" w:eastAsia="Tinos" w:cs="Tinos"/>
          <w:bCs/>
          <w:sz w:val="28"/>
          <w:szCs w:val="28"/>
        </w:rPr>
        <w:t xml:space="preserve">федеральной, региональной либо муниципальной собственности. </w:t>
      </w:r>
      <w:r>
        <w:rPr>
          <w:rFonts w:ascii="Tinos" w:hAnsi="Tinos" w:eastAsia="Tinos" w:cs="Tinos"/>
          <w:sz w:val="28"/>
          <w:szCs w:val="28"/>
        </w:rPr>
        <w:t xml:space="preserve">Земли расположены в г. Чите</w:t>
      </w:r>
      <w:r>
        <w:rPr>
          <w:rFonts w:ascii="Tinos" w:hAnsi="Tinos" w:eastAsia="Tinos" w:cs="Tinos"/>
          <w:sz w:val="28"/>
          <w:szCs w:val="28"/>
        </w:rPr>
        <w:t xml:space="preserve"> и Читинском районе</w:t>
      </w:r>
      <w:r>
        <w:rPr>
          <w:rFonts w:ascii="Tinos" w:hAnsi="Tinos" w:eastAsia="Tinos" w:cs="Tinos"/>
          <w:sz w:val="28"/>
          <w:szCs w:val="28"/>
        </w:rPr>
        <w:t xml:space="preserve">, г. Петровск-Забайкальске, г. Шилке, </w:t>
      </w:r>
      <w:r>
        <w:rPr>
          <w:rFonts w:ascii="Tinos" w:hAnsi="Tinos" w:eastAsia="Tinos" w:cs="Tinos"/>
          <w:sz w:val="28"/>
          <w:szCs w:val="28"/>
        </w:rPr>
        <w:t xml:space="preserve">пгт</w:t>
      </w:r>
      <w:r>
        <w:rPr>
          <w:rFonts w:ascii="Tinos" w:hAnsi="Tinos" w:eastAsia="Tinos" w:cs="Tinos"/>
          <w:sz w:val="28"/>
          <w:szCs w:val="28"/>
        </w:rPr>
        <w:t xml:space="preserve">. Агинское, г. Хилок, г. Сретенск, г. Нерчинск, п. Лесной городок, </w:t>
      </w:r>
      <w:r>
        <w:rPr>
          <w:rFonts w:ascii="Tinos" w:hAnsi="Tinos" w:eastAsia="Tinos" w:cs="Tinos"/>
          <w:sz w:val="28"/>
          <w:szCs w:val="28"/>
        </w:rPr>
        <w:t xml:space="preserve">пгт</w:t>
      </w:r>
      <w:r>
        <w:rPr>
          <w:rFonts w:ascii="Tinos" w:hAnsi="Tinos" w:eastAsia="Tinos" w:cs="Tinos"/>
          <w:sz w:val="28"/>
          <w:szCs w:val="28"/>
        </w:rPr>
        <w:t xml:space="preserve">. Забайкальск, п. Ясногорск, </w:t>
      </w:r>
      <w:r>
        <w:rPr>
          <w:rFonts w:ascii="Tinos" w:hAnsi="Tinos" w:eastAsia="Tinos" w:cs="Tinos"/>
          <w:sz w:val="28"/>
          <w:szCs w:val="28"/>
        </w:rPr>
        <w:t xml:space="preserve">пгт</w:t>
      </w:r>
      <w:r>
        <w:rPr>
          <w:rFonts w:ascii="Tinos" w:hAnsi="Tinos" w:eastAsia="Tinos" w:cs="Tinos"/>
          <w:sz w:val="28"/>
          <w:szCs w:val="28"/>
        </w:rPr>
        <w:t xml:space="preserve">. Новая Чара, г. Могоча, </w:t>
      </w:r>
      <w:r>
        <w:rPr>
          <w:rFonts w:ascii="Tinos" w:hAnsi="Tinos" w:eastAsia="Tinos" w:cs="Tinos"/>
          <w:sz w:val="28"/>
          <w:szCs w:val="28"/>
        </w:rPr>
        <w:t xml:space="preserve">пгт</w:t>
      </w:r>
      <w:r>
        <w:rPr>
          <w:rFonts w:ascii="Tinos" w:hAnsi="Tinos" w:eastAsia="Tinos" w:cs="Tinos"/>
          <w:sz w:val="28"/>
          <w:szCs w:val="28"/>
        </w:rPr>
        <w:t xml:space="preserve">. Чернышевск и других населенных пунктах.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82"/>
        <w:ind w:firstLine="709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В целях получения информации о земельных участках и</w:t>
      </w:r>
      <w:r>
        <w:rPr>
          <w:rFonts w:ascii="Tinos" w:hAnsi="Tinos" w:eastAsia="Tinos" w:cs="Tinos"/>
          <w:sz w:val="28"/>
          <w:szCs w:val="28"/>
        </w:rPr>
        <w:t xml:space="preserve"> территориях в Забайкальском крае заинтересованные в получении земельного участка лица, могут воспользоваться сервисом «Земля для стройки» на портале «Национальная система пространственных данных» по ссылке </w:t>
      </w:r>
      <w:r>
        <w:rPr>
          <w:rFonts w:ascii="Tinos" w:hAnsi="Tinos" w:eastAsia="Tinos" w:cs="Tinos"/>
          <w:sz w:val="28"/>
          <w:szCs w:val="28"/>
        </w:rPr>
      </w:r>
      <w:hyperlink r:id="rId16" w:tooltip="https://nspd.gov.ru/#top_section" w:history="1">
        <w:r>
          <w:rPr>
            <w:rStyle w:val="971"/>
            <w:rFonts w:ascii="Tinos" w:hAnsi="Tinos" w:eastAsia="Tinos" w:cs="Tinos"/>
            <w:sz w:val="28"/>
            <w:szCs w:val="28"/>
          </w:rPr>
          <w:t xml:space="preserve">https://nspd.gov.ru/</w:t>
        </w:r>
      </w:hyperlink>
      <w:r>
        <w:rPr>
          <w:rFonts w:ascii="Tinos" w:hAnsi="Tinos" w:cs="Tinos"/>
          <w:sz w:val="28"/>
          <w:szCs w:val="28"/>
          <w:highlight w:val="none"/>
        </w:rPr>
        <w:t xml:space="preserve">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lang w:eastAsia="ru-RU"/>
        </w:rPr>
        <w:t xml:space="preserve">Сервис не только покажет земельные участки, пригодные для строительства жилья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в регионах России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, но и поможет подать обращение в уполномоченный орган в отношении выбранного объекта. </w:t>
      </w:r>
      <w:r>
        <w:rPr>
          <w:rFonts w:ascii="Tinos" w:hAnsi="Tinos" w:eastAsia="Tinos" w:cs="Tinos"/>
          <w:sz w:val="28"/>
          <w:szCs w:val="28"/>
        </w:rPr>
        <w:t xml:space="preserve">Для этого необходимо кликнуть по ссылке «Подать обращение», заполнить открывшуюся форму и отправить ее в уполномоченный орган.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РосреестрЧита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РосреестрЗабайкальскийКрай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ЗабайкальскийРосреестр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Росреестр75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Недвижимость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БанкЗемли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ЗемляДляСтройки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</w:rPr>
        <w:t xml:space="preserve">НСПД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r>
      <w:rPr>
        <w:rFonts w:ascii="Segoe UI" w:hAnsi="Segoe UI" w:cs="Segoe UI"/>
        <w:color w:val="0070b9"/>
        <w:sz w:val="16"/>
        <w:szCs w:val="16"/>
      </w:rPr>
      <w:t xml:space="preserve">Росреестра</w:t>
    </w:r>
    <w:r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8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80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80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80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71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71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80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80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9">
    <w:name w:val="Heading 1 Char"/>
    <w:basedOn w:val="963"/>
    <w:link w:val="962"/>
    <w:uiPriority w:val="9"/>
    <w:rPr>
      <w:rFonts w:ascii="Arial" w:hAnsi="Arial" w:eastAsia="Arial" w:cs="Arial"/>
      <w:sz w:val="40"/>
      <w:szCs w:val="40"/>
    </w:rPr>
  </w:style>
  <w:style w:type="paragraph" w:styleId="790">
    <w:name w:val="Heading 2"/>
    <w:basedOn w:val="961"/>
    <w:next w:val="961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1">
    <w:name w:val="Heading 2 Char"/>
    <w:basedOn w:val="963"/>
    <w:link w:val="790"/>
    <w:uiPriority w:val="9"/>
    <w:rPr>
      <w:rFonts w:ascii="Arial" w:hAnsi="Arial" w:eastAsia="Arial" w:cs="Arial"/>
      <w:sz w:val="34"/>
    </w:rPr>
  </w:style>
  <w:style w:type="paragraph" w:styleId="792">
    <w:name w:val="Heading 3"/>
    <w:basedOn w:val="961"/>
    <w:next w:val="961"/>
    <w:link w:val="7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3">
    <w:name w:val="Heading 3 Char"/>
    <w:basedOn w:val="963"/>
    <w:link w:val="792"/>
    <w:uiPriority w:val="9"/>
    <w:rPr>
      <w:rFonts w:ascii="Arial" w:hAnsi="Arial" w:eastAsia="Arial" w:cs="Arial"/>
      <w:sz w:val="30"/>
      <w:szCs w:val="30"/>
    </w:rPr>
  </w:style>
  <w:style w:type="paragraph" w:styleId="794">
    <w:name w:val="Heading 4"/>
    <w:basedOn w:val="961"/>
    <w:next w:val="961"/>
    <w:link w:val="7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5">
    <w:name w:val="Heading 4 Char"/>
    <w:basedOn w:val="963"/>
    <w:link w:val="794"/>
    <w:uiPriority w:val="9"/>
    <w:rPr>
      <w:rFonts w:ascii="Arial" w:hAnsi="Arial" w:eastAsia="Arial" w:cs="Arial"/>
      <w:b/>
      <w:bCs/>
      <w:sz w:val="26"/>
      <w:szCs w:val="26"/>
    </w:rPr>
  </w:style>
  <w:style w:type="paragraph" w:styleId="796">
    <w:name w:val="Heading 5"/>
    <w:basedOn w:val="961"/>
    <w:next w:val="961"/>
    <w:link w:val="7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7">
    <w:name w:val="Heading 5 Char"/>
    <w:basedOn w:val="963"/>
    <w:link w:val="796"/>
    <w:uiPriority w:val="9"/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961"/>
    <w:next w:val="961"/>
    <w:link w:val="7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6 Char"/>
    <w:basedOn w:val="963"/>
    <w:link w:val="798"/>
    <w:uiPriority w:val="9"/>
    <w:rPr>
      <w:rFonts w:ascii="Arial" w:hAnsi="Arial" w:eastAsia="Arial" w:cs="Arial"/>
      <w:b/>
      <w:bCs/>
      <w:sz w:val="22"/>
      <w:szCs w:val="22"/>
    </w:rPr>
  </w:style>
  <w:style w:type="paragraph" w:styleId="800">
    <w:name w:val="Heading 7"/>
    <w:basedOn w:val="961"/>
    <w:next w:val="961"/>
    <w:link w:val="8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1">
    <w:name w:val="Heading 7 Char"/>
    <w:basedOn w:val="963"/>
    <w:link w:val="8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2">
    <w:name w:val="Heading 8"/>
    <w:basedOn w:val="961"/>
    <w:next w:val="961"/>
    <w:link w:val="8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3">
    <w:name w:val="Heading 8 Char"/>
    <w:basedOn w:val="963"/>
    <w:link w:val="802"/>
    <w:uiPriority w:val="9"/>
    <w:rPr>
      <w:rFonts w:ascii="Arial" w:hAnsi="Arial" w:eastAsia="Arial" w:cs="Arial"/>
      <w:i/>
      <w:iCs/>
      <w:sz w:val="22"/>
      <w:szCs w:val="22"/>
    </w:rPr>
  </w:style>
  <w:style w:type="paragraph" w:styleId="804">
    <w:name w:val="Heading 9"/>
    <w:basedOn w:val="961"/>
    <w:next w:val="961"/>
    <w:link w:val="8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5">
    <w:name w:val="Heading 9 Char"/>
    <w:basedOn w:val="963"/>
    <w:link w:val="804"/>
    <w:uiPriority w:val="9"/>
    <w:rPr>
      <w:rFonts w:ascii="Arial" w:hAnsi="Arial" w:eastAsia="Arial" w:cs="Arial"/>
      <w:i/>
      <w:iCs/>
      <w:sz w:val="21"/>
      <w:szCs w:val="21"/>
    </w:rPr>
  </w:style>
  <w:style w:type="paragraph" w:styleId="806">
    <w:name w:val="Title"/>
    <w:basedOn w:val="961"/>
    <w:next w:val="961"/>
    <w:link w:val="8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7">
    <w:name w:val="Title Char"/>
    <w:basedOn w:val="963"/>
    <w:link w:val="806"/>
    <w:uiPriority w:val="10"/>
    <w:rPr>
      <w:sz w:val="48"/>
      <w:szCs w:val="48"/>
    </w:rPr>
  </w:style>
  <w:style w:type="paragraph" w:styleId="808">
    <w:name w:val="Subtitle"/>
    <w:basedOn w:val="961"/>
    <w:next w:val="961"/>
    <w:link w:val="809"/>
    <w:uiPriority w:val="11"/>
    <w:qFormat/>
    <w:pPr>
      <w:spacing w:before="200" w:after="200"/>
    </w:pPr>
    <w:rPr>
      <w:sz w:val="24"/>
      <w:szCs w:val="24"/>
    </w:rPr>
  </w:style>
  <w:style w:type="character" w:styleId="809">
    <w:name w:val="Subtitle Char"/>
    <w:basedOn w:val="963"/>
    <w:link w:val="808"/>
    <w:uiPriority w:val="11"/>
    <w:rPr>
      <w:sz w:val="24"/>
      <w:szCs w:val="24"/>
    </w:rPr>
  </w:style>
  <w:style w:type="paragraph" w:styleId="810">
    <w:name w:val="Quote"/>
    <w:basedOn w:val="961"/>
    <w:next w:val="961"/>
    <w:link w:val="811"/>
    <w:uiPriority w:val="29"/>
    <w:qFormat/>
    <w:pPr>
      <w:ind w:left="720" w:right="720"/>
    </w:pPr>
    <w:rPr>
      <w:i/>
    </w:rPr>
  </w:style>
  <w:style w:type="character" w:styleId="811">
    <w:name w:val="Quote Char"/>
    <w:link w:val="810"/>
    <w:uiPriority w:val="29"/>
    <w:rPr>
      <w:i/>
    </w:rPr>
  </w:style>
  <w:style w:type="paragraph" w:styleId="812">
    <w:name w:val="Intense Quote"/>
    <w:basedOn w:val="961"/>
    <w:next w:val="961"/>
    <w:link w:val="8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3">
    <w:name w:val="Intense Quote Char"/>
    <w:link w:val="812"/>
    <w:uiPriority w:val="30"/>
    <w:rPr>
      <w:i/>
    </w:rPr>
  </w:style>
  <w:style w:type="character" w:styleId="814">
    <w:name w:val="Header Char"/>
    <w:basedOn w:val="963"/>
    <w:link w:val="978"/>
    <w:uiPriority w:val="99"/>
  </w:style>
  <w:style w:type="character" w:styleId="815">
    <w:name w:val="Footer Char"/>
    <w:basedOn w:val="963"/>
    <w:link w:val="980"/>
    <w:uiPriority w:val="99"/>
  </w:style>
  <w:style w:type="paragraph" w:styleId="816">
    <w:name w:val="Caption"/>
    <w:basedOn w:val="961"/>
    <w:next w:val="9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7">
    <w:name w:val="Caption Char"/>
    <w:basedOn w:val="816"/>
    <w:link w:val="980"/>
    <w:uiPriority w:val="99"/>
  </w:style>
  <w:style w:type="table" w:styleId="818">
    <w:name w:val="Table Grid"/>
    <w:basedOn w:val="9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>
    <w:name w:val="Table Grid Light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>
    <w:name w:val="Plain Table 1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1">
    <w:name w:val="Plain Table 2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>
    <w:name w:val="Plain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3">
    <w:name w:val="Plain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Plain Table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5">
    <w:name w:val="Grid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7">
    <w:name w:val="Grid Table 4 - Accent 1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8">
    <w:name w:val="Grid Table 4 - Accent 2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Grid Table 4 - Accent 3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0">
    <w:name w:val="Grid Table 4 - Accent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Grid Table 4 - Accent 5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2">
    <w:name w:val="Grid Table 4 - Accent 6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3">
    <w:name w:val="Grid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4">
    <w:name w:val="Grid Table 5 Dark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7">
    <w:name w:val="Grid Table 5 Dark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0">
    <w:name w:val="Grid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1">
    <w:name w:val="Grid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2">
    <w:name w:val="Grid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3">
    <w:name w:val="Grid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4">
    <w:name w:val="Grid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5">
    <w:name w:val="Grid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6">
    <w:name w:val="Grid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7">
    <w:name w:val="Grid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2">
    <w:name w:val="List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3">
    <w:name w:val="List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4">
    <w:name w:val="List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5">
    <w:name w:val="List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6">
    <w:name w:val="List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7">
    <w:name w:val="List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8">
    <w:name w:val="List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0">
    <w:name w:val="List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1">
    <w:name w:val="List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2">
    <w:name w:val="List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3">
    <w:name w:val="List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4">
    <w:name w:val="List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5">
    <w:name w:val="List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6">
    <w:name w:val="List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7">
    <w:name w:val="List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8">
    <w:name w:val="List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9">
    <w:name w:val="List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20">
    <w:name w:val="List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21">
    <w:name w:val="List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22">
    <w:name w:val="List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3">
    <w:name w:val="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4">
    <w:name w:val="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5">
    <w:name w:val="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6">
    <w:name w:val="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7">
    <w:name w:val="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8">
    <w:name w:val="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9">
    <w:name w:val="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0">
    <w:name w:val="Bordered &amp; 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1">
    <w:name w:val="Bordered &amp; 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2">
    <w:name w:val="Bordered &amp; 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3">
    <w:name w:val="Bordered &amp; 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4">
    <w:name w:val="Bordered &amp; 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5">
    <w:name w:val="Bordered &amp; 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6">
    <w:name w:val="Bordered &amp; 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7">
    <w:name w:val="Bordered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8">
    <w:name w:val="Bordered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9">
    <w:name w:val="Bordered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0">
    <w:name w:val="Bordered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1">
    <w:name w:val="Bordered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2">
    <w:name w:val="Bordered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3">
    <w:name w:val="Bordered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44">
    <w:name w:val="footnote text"/>
    <w:basedOn w:val="961"/>
    <w:link w:val="945"/>
    <w:uiPriority w:val="99"/>
    <w:semiHidden/>
    <w:unhideWhenUsed/>
    <w:pPr>
      <w:spacing w:after="40" w:line="240" w:lineRule="auto"/>
    </w:pPr>
    <w:rPr>
      <w:sz w:val="18"/>
    </w:rPr>
  </w:style>
  <w:style w:type="character" w:styleId="945">
    <w:name w:val="Footnote Text Char"/>
    <w:link w:val="944"/>
    <w:uiPriority w:val="99"/>
    <w:rPr>
      <w:sz w:val="18"/>
    </w:rPr>
  </w:style>
  <w:style w:type="character" w:styleId="946">
    <w:name w:val="footnote reference"/>
    <w:basedOn w:val="963"/>
    <w:uiPriority w:val="99"/>
    <w:unhideWhenUsed/>
    <w:rPr>
      <w:vertAlign w:val="superscript"/>
    </w:rPr>
  </w:style>
  <w:style w:type="paragraph" w:styleId="947">
    <w:name w:val="endnote text"/>
    <w:basedOn w:val="961"/>
    <w:link w:val="948"/>
    <w:uiPriority w:val="99"/>
    <w:semiHidden/>
    <w:unhideWhenUsed/>
    <w:pPr>
      <w:spacing w:after="0" w:line="240" w:lineRule="auto"/>
    </w:pPr>
    <w:rPr>
      <w:sz w:val="20"/>
    </w:rPr>
  </w:style>
  <w:style w:type="character" w:styleId="948">
    <w:name w:val="Endnote Text Char"/>
    <w:link w:val="947"/>
    <w:uiPriority w:val="99"/>
    <w:rPr>
      <w:sz w:val="20"/>
    </w:rPr>
  </w:style>
  <w:style w:type="character" w:styleId="949">
    <w:name w:val="endnote reference"/>
    <w:basedOn w:val="963"/>
    <w:uiPriority w:val="99"/>
    <w:semiHidden/>
    <w:unhideWhenUsed/>
    <w:rPr>
      <w:vertAlign w:val="superscript"/>
    </w:rPr>
  </w:style>
  <w:style w:type="paragraph" w:styleId="950">
    <w:name w:val="toc 1"/>
    <w:basedOn w:val="961"/>
    <w:next w:val="961"/>
    <w:uiPriority w:val="39"/>
    <w:unhideWhenUsed/>
    <w:pPr>
      <w:ind w:left="0" w:right="0" w:firstLine="0"/>
      <w:spacing w:after="57"/>
    </w:pPr>
  </w:style>
  <w:style w:type="paragraph" w:styleId="951">
    <w:name w:val="toc 2"/>
    <w:basedOn w:val="961"/>
    <w:next w:val="961"/>
    <w:uiPriority w:val="39"/>
    <w:unhideWhenUsed/>
    <w:pPr>
      <w:ind w:left="283" w:right="0" w:firstLine="0"/>
      <w:spacing w:after="57"/>
    </w:pPr>
  </w:style>
  <w:style w:type="paragraph" w:styleId="952">
    <w:name w:val="toc 3"/>
    <w:basedOn w:val="961"/>
    <w:next w:val="961"/>
    <w:uiPriority w:val="39"/>
    <w:unhideWhenUsed/>
    <w:pPr>
      <w:ind w:left="567" w:right="0" w:firstLine="0"/>
      <w:spacing w:after="57"/>
    </w:pPr>
  </w:style>
  <w:style w:type="paragraph" w:styleId="953">
    <w:name w:val="toc 4"/>
    <w:basedOn w:val="961"/>
    <w:next w:val="961"/>
    <w:uiPriority w:val="39"/>
    <w:unhideWhenUsed/>
    <w:pPr>
      <w:ind w:left="850" w:right="0" w:firstLine="0"/>
      <w:spacing w:after="57"/>
    </w:pPr>
  </w:style>
  <w:style w:type="paragraph" w:styleId="954">
    <w:name w:val="toc 5"/>
    <w:basedOn w:val="961"/>
    <w:next w:val="961"/>
    <w:uiPriority w:val="39"/>
    <w:unhideWhenUsed/>
    <w:pPr>
      <w:ind w:left="1134" w:right="0" w:firstLine="0"/>
      <w:spacing w:after="57"/>
    </w:pPr>
  </w:style>
  <w:style w:type="paragraph" w:styleId="955">
    <w:name w:val="toc 6"/>
    <w:basedOn w:val="961"/>
    <w:next w:val="961"/>
    <w:uiPriority w:val="39"/>
    <w:unhideWhenUsed/>
    <w:pPr>
      <w:ind w:left="1417" w:right="0" w:firstLine="0"/>
      <w:spacing w:after="57"/>
    </w:pPr>
  </w:style>
  <w:style w:type="paragraph" w:styleId="956">
    <w:name w:val="toc 7"/>
    <w:basedOn w:val="961"/>
    <w:next w:val="961"/>
    <w:uiPriority w:val="39"/>
    <w:unhideWhenUsed/>
    <w:pPr>
      <w:ind w:left="1701" w:right="0" w:firstLine="0"/>
      <w:spacing w:after="57"/>
    </w:pPr>
  </w:style>
  <w:style w:type="paragraph" w:styleId="957">
    <w:name w:val="toc 8"/>
    <w:basedOn w:val="961"/>
    <w:next w:val="961"/>
    <w:uiPriority w:val="39"/>
    <w:unhideWhenUsed/>
    <w:pPr>
      <w:ind w:left="1984" w:right="0" w:firstLine="0"/>
      <w:spacing w:after="57"/>
    </w:pPr>
  </w:style>
  <w:style w:type="paragraph" w:styleId="958">
    <w:name w:val="toc 9"/>
    <w:basedOn w:val="961"/>
    <w:next w:val="961"/>
    <w:uiPriority w:val="39"/>
    <w:unhideWhenUsed/>
    <w:pPr>
      <w:ind w:left="2268" w:right="0" w:firstLine="0"/>
      <w:spacing w:after="57"/>
    </w:pPr>
  </w:style>
  <w:style w:type="paragraph" w:styleId="959">
    <w:name w:val="TOC Heading"/>
    <w:uiPriority w:val="39"/>
    <w:unhideWhenUsed/>
  </w:style>
  <w:style w:type="paragraph" w:styleId="960">
    <w:name w:val="table of figures"/>
    <w:basedOn w:val="961"/>
    <w:next w:val="961"/>
    <w:uiPriority w:val="99"/>
    <w:unhideWhenUsed/>
    <w:pPr>
      <w:spacing w:after="0" w:afterAutospacing="0"/>
    </w:pPr>
  </w:style>
  <w:style w:type="paragraph" w:styleId="96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962">
    <w:name w:val="Heading 1"/>
    <w:basedOn w:val="961"/>
    <w:next w:val="961"/>
    <w:link w:val="969"/>
    <w:uiPriority w:val="9"/>
    <w:qFormat/>
    <w:pPr>
      <w:keepLines/>
      <w:keepNext/>
      <w:spacing w:before="240" w:after="0" w:line="259" w:lineRule="auto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character" w:styleId="963" w:default="1">
    <w:name w:val="Default Paragraph Font"/>
    <w:uiPriority w:val="1"/>
    <w:semiHidden/>
    <w:unhideWhenUsed/>
  </w:style>
  <w:style w:type="table" w:styleId="9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5" w:default="1">
    <w:name w:val="No List"/>
    <w:uiPriority w:val="99"/>
    <w:semiHidden/>
    <w:unhideWhenUsed/>
  </w:style>
  <w:style w:type="paragraph" w:styleId="966">
    <w:name w:val="Balloon Text"/>
    <w:basedOn w:val="961"/>
    <w:link w:val="9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7" w:customStyle="1">
    <w:name w:val="Текст выноски Знак"/>
    <w:link w:val="966"/>
    <w:uiPriority w:val="99"/>
    <w:semiHidden/>
    <w:rPr>
      <w:rFonts w:ascii="Segoe UI" w:hAnsi="Segoe UI" w:cs="Segoe UI"/>
      <w:sz w:val="18"/>
      <w:szCs w:val="18"/>
    </w:rPr>
  </w:style>
  <w:style w:type="paragraph" w:styleId="968">
    <w:name w:val="No Spacing"/>
    <w:uiPriority w:val="1"/>
    <w:qFormat/>
    <w:rPr>
      <w:sz w:val="22"/>
      <w:szCs w:val="22"/>
      <w:lang w:eastAsia="en-US"/>
    </w:rPr>
  </w:style>
  <w:style w:type="character" w:styleId="969" w:customStyle="1">
    <w:name w:val="Заголовок 1 Знак"/>
    <w:link w:val="962"/>
    <w:uiPriority w:val="9"/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70">
    <w:name w:val="List Paragraph"/>
    <w:basedOn w:val="961"/>
    <w:uiPriority w:val="34"/>
    <w:qFormat/>
    <w:pPr>
      <w:contextualSpacing/>
      <w:ind w:left="720"/>
      <w:spacing w:after="160" w:line="256" w:lineRule="auto"/>
    </w:pPr>
  </w:style>
  <w:style w:type="character" w:styleId="971">
    <w:name w:val="Hyperlink"/>
    <w:uiPriority w:val="99"/>
    <w:unhideWhenUsed/>
    <w:rPr>
      <w:color w:val="0563c1"/>
      <w:u w:val="single"/>
    </w:rPr>
  </w:style>
  <w:style w:type="character" w:styleId="972">
    <w:name w:val="annotation reference"/>
    <w:uiPriority w:val="99"/>
    <w:semiHidden/>
    <w:unhideWhenUsed/>
    <w:rPr>
      <w:sz w:val="16"/>
      <w:szCs w:val="16"/>
    </w:rPr>
  </w:style>
  <w:style w:type="paragraph" w:styleId="973">
    <w:name w:val="annotation text"/>
    <w:basedOn w:val="961"/>
    <w:link w:val="974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74" w:customStyle="1">
    <w:name w:val="Текст примечания Знак"/>
    <w:link w:val="973"/>
    <w:uiPriority w:val="99"/>
    <w:semiHidden/>
    <w:rPr>
      <w:sz w:val="20"/>
      <w:szCs w:val="20"/>
    </w:rPr>
  </w:style>
  <w:style w:type="paragraph" w:styleId="975">
    <w:name w:val="annotation subject"/>
    <w:basedOn w:val="973"/>
    <w:next w:val="973"/>
    <w:link w:val="976"/>
    <w:uiPriority w:val="99"/>
    <w:semiHidden/>
    <w:unhideWhenUsed/>
    <w:rPr>
      <w:b/>
      <w:bCs/>
    </w:rPr>
  </w:style>
  <w:style w:type="character" w:styleId="976" w:customStyle="1">
    <w:name w:val="Тема примечания Знак"/>
    <w:link w:val="975"/>
    <w:uiPriority w:val="99"/>
    <w:semiHidden/>
    <w:rPr>
      <w:b/>
      <w:bCs/>
      <w:sz w:val="20"/>
      <w:szCs w:val="20"/>
    </w:rPr>
  </w:style>
  <w:style w:type="character" w:styleId="977">
    <w:name w:val="Strong"/>
    <w:uiPriority w:val="22"/>
    <w:qFormat/>
    <w:rPr>
      <w:b/>
      <w:bCs/>
    </w:rPr>
  </w:style>
  <w:style w:type="paragraph" w:styleId="978">
    <w:name w:val="Header"/>
    <w:basedOn w:val="961"/>
    <w:link w:val="9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9" w:customStyle="1">
    <w:name w:val="Верхний колонтитул Знак"/>
    <w:basedOn w:val="963"/>
    <w:link w:val="978"/>
    <w:uiPriority w:val="99"/>
  </w:style>
  <w:style w:type="paragraph" w:styleId="980">
    <w:name w:val="Footer"/>
    <w:basedOn w:val="961"/>
    <w:link w:val="9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81" w:customStyle="1">
    <w:name w:val="Нижний колонтитул Знак"/>
    <w:basedOn w:val="963"/>
    <w:link w:val="980"/>
    <w:uiPriority w:val="99"/>
  </w:style>
  <w:style w:type="paragraph" w:styleId="982">
    <w:name w:val="Normal (Web)"/>
    <w:basedOn w:val="96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nspd.gov.ru/#top_sectio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В Забайкалье 248 объектов вовлекли в жилищное строительство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Жамбалнимбуев Баир Батомункуевич</dc:creator>
  <cp:keywords/>
  <dc:description/>
  <cp:revision>107</cp:revision>
  <dcterms:created xsi:type="dcterms:W3CDTF">2022-08-29T05:35:00Z</dcterms:created>
  <dcterms:modified xsi:type="dcterms:W3CDTF">2026-02-02T23:40:37Z</dcterms:modified>
</cp:coreProperties>
</file>