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на 1 </w:t>
      </w:r>
      <w:r w:rsidR="00607F0F">
        <w:rPr>
          <w:sz w:val="28"/>
        </w:rPr>
        <w:t xml:space="preserve">января </w:t>
      </w:r>
      <w:r w:rsidRPr="0014474E">
        <w:rPr>
          <w:sz w:val="28"/>
        </w:rPr>
        <w:t>202</w:t>
      </w:r>
      <w:bookmarkStart w:id="0" w:name="_GoBack"/>
      <w:bookmarkEnd w:id="0"/>
      <w:r w:rsidR="00607F0F">
        <w:rPr>
          <w:sz w:val="28"/>
        </w:rPr>
        <w:t>6</w:t>
      </w:r>
      <w:r w:rsidRPr="0014474E">
        <w:rPr>
          <w:sz w:val="28"/>
        </w:rPr>
        <w:t xml:space="preserve"> года</w:t>
      </w:r>
    </w:p>
    <w:p w:rsidR="0014474E" w:rsidRDefault="0014474E" w:rsidP="0014474E">
      <w:pPr>
        <w:jc w:val="center"/>
        <w:rPr>
          <w:sz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2409"/>
        <w:gridCol w:w="4110"/>
        <w:gridCol w:w="2836"/>
      </w:tblGrid>
      <w:tr w:rsidR="00D5184C" w:rsidRPr="00F31422" w:rsidTr="000F2855">
        <w:tc>
          <w:tcPr>
            <w:tcW w:w="326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6B2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6B22">
              <w:rPr>
                <w:b/>
                <w:sz w:val="24"/>
                <w:szCs w:val="24"/>
              </w:rPr>
              <w:t>/</w:t>
            </w:r>
            <w:proofErr w:type="spellStart"/>
            <w:r w:rsidRPr="00976B2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19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97" w:type="pct"/>
          </w:tcPr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:rsidR="00D5184C" w:rsidRPr="00371D0C" w:rsidRDefault="00371D0C" w:rsidP="00607F0F">
            <w:pPr>
              <w:jc w:val="center"/>
              <w:rPr>
                <w:b/>
                <w:sz w:val="24"/>
                <w:szCs w:val="24"/>
              </w:rPr>
            </w:pPr>
            <w:r w:rsidRPr="00371D0C">
              <w:rPr>
                <w:b/>
                <w:sz w:val="24"/>
                <w:szCs w:val="24"/>
              </w:rPr>
              <w:t>на 1 января 202</w:t>
            </w:r>
            <w:r w:rsidR="00607F0F">
              <w:rPr>
                <w:b/>
                <w:sz w:val="24"/>
                <w:szCs w:val="24"/>
              </w:rPr>
              <w:t>6</w:t>
            </w:r>
            <w:r w:rsidRPr="00371D0C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64" w:type="pct"/>
          </w:tcPr>
          <w:p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:rsidTr="000F285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:rsidTr="000F2855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94" w:type="pct"/>
            <w:shd w:val="clear" w:color="auto" w:fill="auto"/>
          </w:tcPr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Проведение торгов, по результатам которых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формируются цены на услуги по транспортированию </w:t>
            </w:r>
            <w:proofErr w:type="gramStart"/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твердых</w:t>
            </w:r>
            <w:proofErr w:type="gramEnd"/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 коммунальных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 оператора по обращению с твердыми коммунальными отходами, в форме электронного аукциона в отношении всего объема твердых коммунальных отходов, образующихся в зоне (зонах) его деятельности разделение региональным  оператором на большее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 транспортированию твердых коммунальных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отходов в зоне его деятельности, а также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увеличение объема услуг по транспортированию твердых </w:t>
            </w: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коммунальных отходов, выделенных в отдельные лоты</w:t>
            </w:r>
          </w:p>
          <w:p w:rsidR="002A2700" w:rsidRPr="000E27F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участниками </w:t>
            </w:r>
            <w:proofErr w:type="gramStart"/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>аукционов</w:t>
            </w:r>
            <w:proofErr w:type="gramEnd"/>
            <w:r w:rsidRPr="000E27F3">
              <w:rPr>
                <w:rFonts w:eastAsia="TimesNewRomanPSMT"/>
                <w:sz w:val="24"/>
                <w:szCs w:val="24"/>
                <w:lang w:eastAsia="en-US"/>
              </w:rPr>
              <w:t xml:space="preserve"> по которым которых могут быть только субъекты малого и среднего предпринимательства.</w:t>
            </w:r>
          </w:p>
        </w:tc>
        <w:tc>
          <w:tcPr>
            <w:tcW w:w="819" w:type="pct"/>
            <w:shd w:val="clear" w:color="auto" w:fill="auto"/>
          </w:tcPr>
          <w:p w:rsidR="002A2700" w:rsidRPr="000E27F3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2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2A2700" w:rsidRPr="000E27F3" w:rsidRDefault="00045C11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0E27F3">
              <w:rPr>
                <w:sz w:val="22"/>
                <w:szCs w:val="22"/>
                <w:lang w:eastAsia="en-US"/>
              </w:rPr>
              <w:t xml:space="preserve">Торги не проводились. На территории Приаргунского муниципального округа Забайкальского края </w:t>
            </w:r>
            <w:r w:rsidRPr="000E27F3">
              <w:rPr>
                <w:sz w:val="22"/>
                <w:szCs w:val="22"/>
              </w:rPr>
              <w:t>деятельность по сбору и транспортированию отходов осуществляет 1 хозяйствующий субъект (региональный оператор ООО «</w:t>
            </w:r>
            <w:proofErr w:type="spellStart"/>
            <w:r w:rsidRPr="000E27F3">
              <w:rPr>
                <w:sz w:val="22"/>
                <w:szCs w:val="22"/>
              </w:rPr>
              <w:t>Олерон+</w:t>
            </w:r>
            <w:proofErr w:type="spellEnd"/>
            <w:r w:rsidRPr="000E27F3">
              <w:rPr>
                <w:sz w:val="22"/>
                <w:szCs w:val="22"/>
              </w:rPr>
              <w:t>»)</w:t>
            </w:r>
          </w:p>
        </w:tc>
        <w:tc>
          <w:tcPr>
            <w:tcW w:w="964" w:type="pct"/>
            <w:shd w:val="clear" w:color="auto" w:fill="auto"/>
          </w:tcPr>
          <w:p w:rsidR="002A2700" w:rsidRPr="009D6944" w:rsidRDefault="00045C11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Приаргунского муниципального округа Забайкальского края</w:t>
            </w:r>
          </w:p>
        </w:tc>
      </w:tr>
      <w:tr w:rsidR="00E46C92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:rsidR="00E46C92" w:rsidRPr="000E27F3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27F3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CF62AF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94" w:type="pct"/>
            <w:shd w:val="clear" w:color="auto" w:fill="FFFFFF" w:themeFill="background1"/>
          </w:tcPr>
          <w:p w:rsidR="00CF62AF" w:rsidRPr="000E27F3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E27F3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среды:</w:t>
            </w:r>
          </w:p>
          <w:p w:rsidR="00CF62AF" w:rsidRPr="000E27F3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CF62AF" w:rsidRPr="000E27F3" w:rsidRDefault="00CF62AF" w:rsidP="00FB352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B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97" w:type="pct"/>
            <w:shd w:val="clear" w:color="auto" w:fill="FFFFFF" w:themeFill="background1"/>
          </w:tcPr>
          <w:p w:rsidR="008A560E" w:rsidRPr="008A560E" w:rsidRDefault="008A560E" w:rsidP="008A560E">
            <w:pPr>
              <w:pStyle w:val="a6"/>
              <w:shd w:val="clear" w:color="auto" w:fill="FFFFFF"/>
              <w:spacing w:before="0" w:beforeAutospacing="0" w:after="0" w:afterAutospacing="0"/>
              <w:ind w:firstLine="175"/>
              <w:jc w:val="both"/>
            </w:pPr>
            <w:r w:rsidRPr="008A560E">
              <w:t>В рамках реализации мероприятий по благоустройству общественных территорий в Приаргунске завершились работы по благоустройству площади в пгт. Приаргунск (</w:t>
            </w:r>
            <w:r w:rsidRPr="008A560E">
              <w:rPr>
                <w:lang w:val="en-US"/>
              </w:rPr>
              <w:t>II</w:t>
            </w:r>
            <w:r w:rsidRPr="008A560E">
              <w:t> этап).</w:t>
            </w:r>
          </w:p>
          <w:p w:rsidR="008A560E" w:rsidRPr="008A560E" w:rsidRDefault="008A560E" w:rsidP="008A560E">
            <w:pPr>
              <w:pStyle w:val="a6"/>
              <w:shd w:val="clear" w:color="auto" w:fill="FFFFFF"/>
              <w:spacing w:before="0" w:beforeAutospacing="0" w:after="0" w:afterAutospacing="0"/>
              <w:ind w:firstLine="175"/>
              <w:jc w:val="both"/>
            </w:pPr>
            <w:r w:rsidRPr="008A560E">
              <w:t>Выполнены работы по установке сценического павильона, устройству покрытия из тротуарных плиток, клумб, скамеек и урн, высадка деревьев (пихта сибирская) в количестве 5-и штук, устройство бетонных дорожек.</w:t>
            </w:r>
          </w:p>
          <w:p w:rsidR="008A560E" w:rsidRPr="008A560E" w:rsidRDefault="008A560E" w:rsidP="008A560E">
            <w:pPr>
              <w:pStyle w:val="a6"/>
              <w:shd w:val="clear" w:color="auto" w:fill="FFFFFF"/>
              <w:spacing w:before="0" w:beforeAutospacing="0" w:after="0" w:afterAutospacing="0"/>
              <w:ind w:firstLine="175"/>
              <w:jc w:val="both"/>
            </w:pPr>
            <w:r w:rsidRPr="008A560E">
              <w:t xml:space="preserve">Общий объем финансирования составляет 5 997, 8 тысяч рублей.  </w:t>
            </w:r>
          </w:p>
          <w:p w:rsidR="008A560E" w:rsidRPr="008A560E" w:rsidRDefault="008A560E" w:rsidP="008A560E">
            <w:pPr>
              <w:pStyle w:val="a6"/>
              <w:shd w:val="clear" w:color="auto" w:fill="FFFFFF"/>
              <w:spacing w:before="0" w:beforeAutospacing="0" w:after="0" w:afterAutospacing="0"/>
              <w:ind w:firstLine="175"/>
              <w:jc w:val="both"/>
            </w:pPr>
            <w:r w:rsidRPr="008A560E">
              <w:t>Работы были выполнены в срок, и приняты в полном объеме.</w:t>
            </w:r>
          </w:p>
          <w:p w:rsidR="00CF62AF" w:rsidRPr="000E27F3" w:rsidRDefault="00CF62AF" w:rsidP="008D6C8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FFFFFF" w:themeFill="background1"/>
          </w:tcPr>
          <w:p w:rsidR="00CF62AF" w:rsidRPr="009D6944" w:rsidRDefault="00CF62AF" w:rsidP="007063C8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  <w:lang w:eastAsia="en-US"/>
              </w:rPr>
              <w:t>Отдел архитектуры и градостроительства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CF62AF" w:rsidRPr="00F31422" w:rsidTr="000F2855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</w:rPr>
            </w:pPr>
            <w:r w:rsidRPr="009D6944">
              <w:rPr>
                <w:bCs/>
                <w:iCs/>
                <w:sz w:val="22"/>
                <w:szCs w:val="22"/>
              </w:rPr>
              <w:t>На территории муниципального округа действует площадка по выдаче сжиженного углеводородного газа для бытовых нужд населению округа, поставщиком является ОАО «</w:t>
            </w:r>
            <w:proofErr w:type="spellStart"/>
            <w:r w:rsidRPr="009D6944">
              <w:rPr>
                <w:bCs/>
                <w:iCs/>
                <w:sz w:val="22"/>
                <w:szCs w:val="22"/>
              </w:rPr>
              <w:t>Читаоблгаз</w:t>
            </w:r>
            <w:proofErr w:type="spellEnd"/>
            <w:r w:rsidRPr="009D6944">
              <w:rPr>
                <w:bCs/>
                <w:iCs/>
                <w:sz w:val="22"/>
                <w:szCs w:val="22"/>
              </w:rPr>
              <w:t>». Поставки газа осуществляются  бесперебойно ИП Сазонов.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lastRenderedPageBreak/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94" w:type="pct"/>
            <w:shd w:val="clear" w:color="auto" w:fill="auto"/>
          </w:tcPr>
          <w:p w:rsidR="00CF62AF" w:rsidRPr="001B4E28" w:rsidRDefault="00CF62AF" w:rsidP="00E46C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8F0831" w:rsidRDefault="00CF62AF" w:rsidP="008F0831">
            <w:pPr>
              <w:jc w:val="both"/>
              <w:rPr>
                <w:bCs/>
                <w:sz w:val="22"/>
                <w:szCs w:val="22"/>
              </w:rPr>
            </w:pPr>
            <w:r w:rsidRPr="008F0831">
              <w:rPr>
                <w:bCs/>
                <w:sz w:val="22"/>
                <w:szCs w:val="22"/>
              </w:rPr>
              <w:t>Из 31 населенного пункта транспортное обслуживание организовано на территории 1</w:t>
            </w:r>
            <w:r w:rsidR="009E3560">
              <w:rPr>
                <w:bCs/>
                <w:sz w:val="22"/>
                <w:szCs w:val="22"/>
              </w:rPr>
              <w:t>3</w:t>
            </w:r>
            <w:r w:rsidRPr="008F0831">
              <w:rPr>
                <w:bCs/>
                <w:sz w:val="22"/>
                <w:szCs w:val="22"/>
              </w:rPr>
              <w:t xml:space="preserve"> населённых пунктов: из них </w:t>
            </w:r>
            <w:r w:rsidR="008A560E">
              <w:rPr>
                <w:bCs/>
                <w:sz w:val="22"/>
                <w:szCs w:val="22"/>
              </w:rPr>
              <w:t>4</w:t>
            </w:r>
            <w:r w:rsidR="009E3560">
              <w:rPr>
                <w:bCs/>
                <w:sz w:val="22"/>
                <w:szCs w:val="22"/>
              </w:rPr>
              <w:t xml:space="preserve"> населённых пункта</w:t>
            </w:r>
            <w:r w:rsidRPr="008F0831">
              <w:rPr>
                <w:bCs/>
                <w:sz w:val="22"/>
                <w:szCs w:val="22"/>
              </w:rPr>
              <w:t xml:space="preserve"> муниципальный маршрут, 9 населенных пункта межмуниципальный маршрут. В течение года ежеквартально объявляется конкурс на перевозку пассажиров.</w:t>
            </w:r>
          </w:p>
          <w:p w:rsidR="00CF62AF" w:rsidRPr="00371D0C" w:rsidRDefault="00CF62AF" w:rsidP="008F0831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8F0831">
              <w:rPr>
                <w:bCs/>
                <w:sz w:val="22"/>
                <w:szCs w:val="22"/>
              </w:rPr>
              <w:t>Разработка документа планирования регулярных перевозок пассажиров и багажа автомобильным транспортом будет способствовать развитию рынка оказания услуг по перевозке пассажиров автомобильным транспортом по муниципальным маршрутам регулярных перевозок.</w:t>
            </w:r>
          </w:p>
        </w:tc>
        <w:tc>
          <w:tcPr>
            <w:tcW w:w="964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Отдел жилищно-коммунального хозяйства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9D6944">
              <w:rPr>
                <w:b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CF62AF" w:rsidRPr="000A669D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8A560E" w:rsidRDefault="00CF62AF" w:rsidP="00E46C92">
            <w:pPr>
              <w:rPr>
                <w:sz w:val="24"/>
                <w:szCs w:val="24"/>
              </w:rPr>
            </w:pPr>
            <w:r w:rsidRPr="008A560E">
              <w:rPr>
                <w:sz w:val="24"/>
                <w:szCs w:val="24"/>
              </w:rPr>
              <w:t>1.20.1</w:t>
            </w:r>
          </w:p>
        </w:tc>
        <w:tc>
          <w:tcPr>
            <w:tcW w:w="1494" w:type="pct"/>
            <w:shd w:val="clear" w:color="auto" w:fill="auto"/>
          </w:tcPr>
          <w:p w:rsidR="00CF62AF" w:rsidRPr="008A560E" w:rsidRDefault="00CF62AF" w:rsidP="00E015B2">
            <w:pPr>
              <w:jc w:val="both"/>
              <w:rPr>
                <w:sz w:val="24"/>
                <w:szCs w:val="24"/>
                <w:lang w:eastAsia="en-US"/>
              </w:rPr>
            </w:pPr>
            <w:r w:rsidRPr="008A560E">
              <w:rPr>
                <w:sz w:val="24"/>
                <w:szCs w:val="24"/>
                <w:lang w:eastAsia="en-US"/>
              </w:rPr>
              <w:t>Обеспечение в</w:t>
            </w:r>
            <w:r w:rsidR="00E015B2" w:rsidRPr="008A560E">
              <w:rPr>
                <w:sz w:val="24"/>
                <w:szCs w:val="24"/>
                <w:lang w:eastAsia="en-US"/>
              </w:rPr>
              <w:t xml:space="preserve">ыявления правообладателей ранее </w:t>
            </w:r>
            <w:r w:rsidRPr="008A560E">
              <w:rPr>
                <w:sz w:val="24"/>
                <w:szCs w:val="24"/>
                <w:lang w:eastAsia="en-US"/>
              </w:rPr>
              <w:t>учтенных объектов недвижимого имущества и вовлечение их в налоговый оборот</w:t>
            </w:r>
          </w:p>
        </w:tc>
        <w:tc>
          <w:tcPr>
            <w:tcW w:w="819" w:type="pct"/>
            <w:shd w:val="clear" w:color="auto" w:fill="auto"/>
          </w:tcPr>
          <w:p w:rsidR="00CF62AF" w:rsidRPr="008A560E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8A560E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8A560E" w:rsidRDefault="00E015B2" w:rsidP="00E015B2">
            <w:pPr>
              <w:ind w:left="-57" w:right="-57"/>
              <w:rPr>
                <w:sz w:val="24"/>
                <w:szCs w:val="24"/>
                <w:highlight w:val="yellow"/>
                <w:lang w:eastAsia="en-US"/>
              </w:rPr>
            </w:pPr>
            <w:r w:rsidRPr="008A560E">
              <w:rPr>
                <w:sz w:val="24"/>
                <w:szCs w:val="24"/>
                <w:lang w:eastAsia="en-US"/>
              </w:rPr>
              <w:t xml:space="preserve">Продолжается  работа по выявлению </w:t>
            </w:r>
            <w:r w:rsidR="00CF62AF" w:rsidRPr="008A560E">
              <w:rPr>
                <w:sz w:val="24"/>
                <w:szCs w:val="24"/>
                <w:lang w:eastAsia="en-US"/>
              </w:rPr>
              <w:t xml:space="preserve"> правообладателей ранее учтенных объектов недвижимого имущества и вовлечен</w:t>
            </w:r>
            <w:r w:rsidRPr="008A560E">
              <w:rPr>
                <w:sz w:val="24"/>
                <w:szCs w:val="24"/>
                <w:lang w:eastAsia="en-US"/>
              </w:rPr>
              <w:t xml:space="preserve">ие их </w:t>
            </w:r>
            <w:r w:rsidR="00CF62AF" w:rsidRPr="008A560E">
              <w:rPr>
                <w:sz w:val="24"/>
                <w:szCs w:val="24"/>
                <w:lang w:eastAsia="en-US"/>
              </w:rPr>
              <w:t xml:space="preserve"> в налоговый оборот</w:t>
            </w:r>
            <w:r w:rsidRPr="008A560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shd w:val="clear" w:color="auto" w:fill="auto"/>
          </w:tcPr>
          <w:p w:rsidR="00CF62AF" w:rsidRPr="008A560E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A560E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</w:rPr>
              <w:t>Рынок нефтепродуктов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 xml:space="preserve">Конкурентные процедуры не проводилось в связи с отсутствием заявок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9D6944">
              <w:rPr>
                <w:sz w:val="24"/>
                <w:szCs w:val="24"/>
              </w:rPr>
              <w:t xml:space="preserve">перечня земельных участков, находящихся в собственности </w:t>
            </w:r>
            <w:r w:rsidRPr="009D6944">
              <w:rPr>
                <w:sz w:val="24"/>
                <w:szCs w:val="24"/>
              </w:rPr>
              <w:lastRenderedPageBreak/>
              <w:t>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 xml:space="preserve">Актуализация перечня земельных участков проводится на территории </w:t>
            </w:r>
            <w:r w:rsidRPr="001B4E28">
              <w:rPr>
                <w:sz w:val="24"/>
                <w:szCs w:val="24"/>
                <w:lang w:eastAsia="en-US"/>
              </w:rPr>
              <w:lastRenderedPageBreak/>
              <w:t>Приаргунского муниципального округа, заявки от предпринимателей под строительство комплекса зданий, сооружений и коммуникаций,</w:t>
            </w:r>
            <w:r w:rsidRPr="001B4E28">
              <w:rPr>
                <w:sz w:val="24"/>
                <w:szCs w:val="24"/>
              </w:rPr>
              <w:t xml:space="preserve"> предназначенных для организации приема, хранения, отпуска и учета нефтепродуктов не поступало.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lastRenderedPageBreak/>
              <w:t xml:space="preserve">Отдел имущественных и земельных отношений </w:t>
            </w:r>
            <w:r w:rsidRPr="009D6944">
              <w:rPr>
                <w:sz w:val="22"/>
                <w:szCs w:val="22"/>
                <w:lang w:eastAsia="en-US"/>
              </w:rPr>
              <w:lastRenderedPageBreak/>
              <w:t>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CF62AF" w:rsidRPr="00F31422" w:rsidTr="0042478F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Муниципальных предприятий, оказывающих услуги в сфере наружной рекламы нет.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F62AF" w:rsidRPr="009D6944" w:rsidRDefault="00CF62AF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9D6944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 заключено в 2017 г.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муниципальных закупок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E46C92">
            <w:pPr>
              <w:rPr>
                <w:strike/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Обеспечение  прозрачности и публичности мероприятий по </w:t>
            </w:r>
            <w:r w:rsidRPr="009D6944">
              <w:rPr>
                <w:sz w:val="24"/>
                <w:szCs w:val="24"/>
                <w:lang w:eastAsia="en-US"/>
              </w:rPr>
              <w:lastRenderedPageBreak/>
              <w:t>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  <w:p w:rsidR="00CF62AF" w:rsidRPr="009D6944" w:rsidRDefault="00CF62AF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На официальном сайте Приаргунского муниципального округа </w:t>
            </w:r>
            <w:r w:rsidRPr="009D6944">
              <w:rPr>
                <w:sz w:val="24"/>
                <w:szCs w:val="24"/>
                <w:lang w:eastAsia="en-US"/>
              </w:rPr>
              <w:lastRenderedPageBreak/>
              <w:t xml:space="preserve">Забайкальского края, по ссылке </w:t>
            </w:r>
            <w:hyperlink r:id="rId8" w:history="1">
              <w:r w:rsidRPr="009D6944">
                <w:rPr>
                  <w:rStyle w:val="ad"/>
                  <w:color w:val="auto"/>
                  <w:sz w:val="24"/>
                  <w:szCs w:val="24"/>
                  <w:lang w:eastAsia="en-US"/>
                </w:rPr>
                <w:t>https://priarg.75.ru/deyatel-nost/otdel-ekonomiki/investicionnaya-deyatel-nost</w:t>
              </w:r>
            </w:hyperlink>
            <w:r w:rsidRPr="009D6944">
              <w:rPr>
                <w:sz w:val="24"/>
                <w:szCs w:val="24"/>
                <w:lang w:eastAsia="en-US"/>
              </w:rPr>
              <w:t xml:space="preserve">,  размещена полная  информация по инвестиционному климату Приаргунского муниципального округа Забайкальского края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lastRenderedPageBreak/>
              <w:t xml:space="preserve">Отдел развития экономики, проектов и </w:t>
            </w:r>
            <w:r w:rsidRPr="009D6944">
              <w:rPr>
                <w:sz w:val="22"/>
                <w:szCs w:val="22"/>
                <w:lang w:eastAsia="en-US"/>
              </w:rPr>
              <w:lastRenderedPageBreak/>
              <w:t>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817E17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7901D9" w:rsidRDefault="00CF62AF" w:rsidP="00E46C92">
            <w:pPr>
              <w:rPr>
                <w:color w:val="943634" w:themeColor="accent2" w:themeShade="BF"/>
                <w:sz w:val="24"/>
                <w:szCs w:val="24"/>
                <w:lang w:eastAsia="en-US"/>
              </w:rPr>
            </w:pPr>
            <w:r w:rsidRPr="007901D9">
              <w:rPr>
                <w:color w:val="943634" w:themeColor="accent2" w:themeShade="BF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 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proofErr w:type="gramStart"/>
            <w:r w:rsidRPr="009D6944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  <w:proofErr w:type="gramEnd"/>
          </w:p>
          <w:p w:rsidR="00CF62AF" w:rsidRPr="009D6944" w:rsidRDefault="00CF62AF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9D6944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817E17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817E17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Такое имущество отсутствует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817E17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имущественных и земельных отношений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t xml:space="preserve">2.13. </w:t>
            </w:r>
            <w:proofErr w:type="gramStart"/>
            <w:r w:rsidRPr="009D6944">
              <w:rPr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9D6944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  <w:proofErr w:type="gramEnd"/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организованных </w:t>
            </w:r>
            <w:r w:rsidRPr="009D6944">
              <w:rPr>
                <w:sz w:val="24"/>
                <w:szCs w:val="24"/>
                <w:lang w:eastAsia="en-US"/>
              </w:rPr>
              <w:lastRenderedPageBreak/>
              <w:t>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6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>Обучающих мероприятий не проводилось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 xml:space="preserve">Отдел развития экономики, проектов и внешнеэкономических связей администрации Приаргунского </w:t>
            </w:r>
            <w:r w:rsidRPr="009D6944">
              <w:rPr>
                <w:sz w:val="22"/>
                <w:szCs w:val="22"/>
                <w:lang w:eastAsia="en-US"/>
              </w:rPr>
              <w:lastRenderedPageBreak/>
              <w:t>муниципального округа Забайкальского края</w:t>
            </w:r>
          </w:p>
        </w:tc>
      </w:tr>
      <w:tr w:rsidR="00CF62AF" w:rsidRPr="00F31422" w:rsidTr="008729BB">
        <w:tblPrEx>
          <w:tblBorders>
            <w:bottom w:val="single" w:sz="4" w:space="0" w:color="auto"/>
          </w:tblBorders>
          <w:tblLook w:val="01A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lastRenderedPageBreak/>
              <w:t xml:space="preserve">2.16.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Ежегодно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540733">
            <w:pPr>
              <w:ind w:left="-57" w:right="-57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 xml:space="preserve">План проведения ярмарок на территории Приаргунского муниципального округа Забайкальского края утвержден постановлением администрации Приаргунского муниципального округа Забайкальского края от </w:t>
            </w:r>
            <w:r w:rsidR="00540733">
              <w:rPr>
                <w:sz w:val="24"/>
                <w:szCs w:val="24"/>
              </w:rPr>
              <w:t>23 декабря 2025 года</w:t>
            </w:r>
            <w:r w:rsidRPr="009D6944">
              <w:rPr>
                <w:sz w:val="24"/>
                <w:szCs w:val="24"/>
              </w:rPr>
              <w:t xml:space="preserve"> № </w:t>
            </w:r>
            <w:r w:rsidR="00540733">
              <w:rPr>
                <w:sz w:val="24"/>
                <w:szCs w:val="24"/>
              </w:rPr>
              <w:t>965</w:t>
            </w:r>
            <w:r w:rsidRPr="009D6944">
              <w:rPr>
                <w:sz w:val="24"/>
                <w:szCs w:val="24"/>
              </w:rPr>
              <w:t xml:space="preserve"> «Об утверждении плана ярмарок на территории Приаргунского муниципального округа Забайкальского края на 202</w:t>
            </w:r>
            <w:r w:rsidR="00540733">
              <w:rPr>
                <w:sz w:val="24"/>
                <w:szCs w:val="24"/>
              </w:rPr>
              <w:t>6</w:t>
            </w:r>
            <w:r w:rsidRPr="009D6944">
              <w:rPr>
                <w:sz w:val="24"/>
                <w:szCs w:val="24"/>
              </w:rPr>
              <w:t xml:space="preserve"> год». Данное постановление размещено на официальном сайте администрации Приаргунского муниципального округа Забайкальского края по ссылке</w:t>
            </w:r>
            <w:r w:rsidRPr="009D6944">
              <w:t xml:space="preserve"> </w:t>
            </w:r>
            <w:hyperlink r:id="rId9" w:history="1">
              <w:r w:rsidR="00540733" w:rsidRPr="00A221C2">
                <w:rPr>
                  <w:rStyle w:val="ad"/>
                </w:rPr>
                <w:t>https://priarg.75.ru/deyatel-nost/maloe-i-srednee-predprinimatel-stvo/yarmarki</w:t>
              </w:r>
            </w:hyperlink>
            <w:r w:rsidR="00540733">
              <w:t xml:space="preserve"> 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8729BB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  <w:lang w:eastAsia="en-US"/>
              </w:rPr>
              <w:t xml:space="preserve">2.18.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 xml:space="preserve"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</w:t>
            </w:r>
            <w:r w:rsidRPr="009D6944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CF62AF" w:rsidP="00A46D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Обеспечение доступа частных организаций и индивидуальных предпринимателей к предоставлению услуг в социальной сфере</w:t>
            </w:r>
          </w:p>
          <w:p w:rsidR="00CF62AF" w:rsidRPr="009D6944" w:rsidRDefault="00CF62AF" w:rsidP="00A46D12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  <w:tr w:rsidR="00CF62AF" w:rsidRPr="00F31422" w:rsidTr="00E46C92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:rsidR="00CF62AF" w:rsidRPr="009D6944" w:rsidRDefault="00CF62AF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 w:rsidRPr="009D6944"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9D6944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Pr="00F31422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FB1DF6">
            <w:pPr>
              <w:jc w:val="center"/>
              <w:rPr>
                <w:sz w:val="24"/>
                <w:szCs w:val="24"/>
              </w:rPr>
            </w:pPr>
            <w:r w:rsidRPr="001B4E28">
              <w:rPr>
                <w:sz w:val="24"/>
                <w:szCs w:val="24"/>
              </w:rPr>
              <w:t>2023-2025 годы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9F1F49">
            <w:pPr>
              <w:ind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Инвентаризация кладбищ и мест захоронений на них проводится ежегодно.</w:t>
            </w:r>
          </w:p>
        </w:tc>
        <w:tc>
          <w:tcPr>
            <w:tcW w:w="964" w:type="pct"/>
            <w:vMerge w:val="restart"/>
            <w:shd w:val="clear" w:color="auto" w:fill="auto"/>
          </w:tcPr>
          <w:p w:rsidR="00CF62AF" w:rsidRPr="009D6944" w:rsidRDefault="00CF62AF" w:rsidP="00A46D1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9D6944">
              <w:rPr>
                <w:sz w:val="24"/>
                <w:szCs w:val="24"/>
              </w:rPr>
              <w:t xml:space="preserve">Отдел жилищно-коммунального хозяйства администрации Приаргунского муниципального округа Забайкальского края </w:t>
            </w: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 хозяйствующих субъектов, имеющих право на оказание услуг по организации похорон</w:t>
            </w:r>
          </w:p>
        </w:tc>
        <w:tc>
          <w:tcPr>
            <w:tcW w:w="819" w:type="pct"/>
            <w:shd w:val="clear" w:color="auto" w:fill="auto"/>
          </w:tcPr>
          <w:p w:rsidR="00CF62AF" w:rsidRPr="001B4E28" w:rsidRDefault="00CF62AF" w:rsidP="00FB1DF6">
            <w:pPr>
              <w:jc w:val="center"/>
              <w:rPr>
                <w:sz w:val="24"/>
                <w:szCs w:val="24"/>
              </w:rPr>
            </w:pPr>
            <w:r w:rsidRPr="001B4E28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397" w:type="pct"/>
            <w:shd w:val="clear" w:color="auto" w:fill="auto"/>
          </w:tcPr>
          <w:p w:rsidR="00CF62AF" w:rsidRPr="001B4E28" w:rsidRDefault="00CF62AF" w:rsidP="009F1F4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4E28">
              <w:rPr>
                <w:sz w:val="24"/>
                <w:szCs w:val="24"/>
                <w:lang w:eastAsia="en-US"/>
              </w:rPr>
              <w:t>Данные организации отсутствуют на территории округа</w:t>
            </w:r>
          </w:p>
        </w:tc>
        <w:tc>
          <w:tcPr>
            <w:tcW w:w="964" w:type="pct"/>
            <w:vMerge/>
            <w:shd w:val="clear" w:color="auto" w:fill="auto"/>
          </w:tcPr>
          <w:p w:rsidR="00CF62AF" w:rsidRPr="009D6944" w:rsidRDefault="00CF62AF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62AF" w:rsidRPr="00F31422" w:rsidTr="00030DB0">
        <w:tblPrEx>
          <w:tblBorders>
            <w:bottom w:val="single" w:sz="4" w:space="0" w:color="auto"/>
          </w:tblBorders>
          <w:tblLook w:val="01A0"/>
        </w:tblPrEx>
        <w:trPr>
          <w:trHeight w:val="567"/>
        </w:trPr>
        <w:tc>
          <w:tcPr>
            <w:tcW w:w="326" w:type="pct"/>
            <w:shd w:val="clear" w:color="auto" w:fill="auto"/>
          </w:tcPr>
          <w:p w:rsidR="00CF62AF" w:rsidRDefault="00CF62AF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94" w:type="pct"/>
            <w:shd w:val="clear" w:color="auto" w:fill="auto"/>
          </w:tcPr>
          <w:p w:rsidR="00CF62AF" w:rsidRPr="009D6944" w:rsidRDefault="00CF62AF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19" w:type="pct"/>
            <w:shd w:val="clear" w:color="auto" w:fill="auto"/>
          </w:tcPr>
          <w:p w:rsidR="00CF62AF" w:rsidRPr="009D6944" w:rsidRDefault="00CF62AF" w:rsidP="00FB1DF6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397" w:type="pct"/>
            <w:shd w:val="clear" w:color="auto" w:fill="auto"/>
          </w:tcPr>
          <w:p w:rsidR="00CF62AF" w:rsidRPr="009D6944" w:rsidRDefault="008A560E" w:rsidP="008A560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 настоящее время на территории Приаргунского муниципального округа Забайкальского края осуществляет деятельность ИП Охлопков А.В. - о</w:t>
            </w:r>
            <w:r w:rsidRPr="008A560E">
              <w:rPr>
                <w:sz w:val="24"/>
                <w:szCs w:val="24"/>
                <w:lang w:eastAsia="en-US"/>
              </w:rPr>
              <w:t>рганизация похорон и представление связанных с ними услуг</w:t>
            </w:r>
            <w:r>
              <w:rPr>
                <w:sz w:val="24"/>
                <w:szCs w:val="24"/>
                <w:lang w:eastAsia="en-US"/>
              </w:rPr>
              <w:t>. Организовать услуги по принципу «одного окна» не представляется возможным.</w:t>
            </w:r>
          </w:p>
        </w:tc>
        <w:tc>
          <w:tcPr>
            <w:tcW w:w="964" w:type="pct"/>
            <w:shd w:val="clear" w:color="auto" w:fill="auto"/>
          </w:tcPr>
          <w:p w:rsidR="00CF62AF" w:rsidRPr="009D6944" w:rsidRDefault="00CF62AF" w:rsidP="00A46D12">
            <w:pPr>
              <w:jc w:val="center"/>
              <w:rPr>
                <w:sz w:val="24"/>
                <w:szCs w:val="24"/>
              </w:rPr>
            </w:pPr>
            <w:r w:rsidRPr="009D6944">
              <w:rPr>
                <w:sz w:val="22"/>
                <w:szCs w:val="22"/>
                <w:lang w:eastAsia="en-US"/>
              </w:rPr>
              <w:t>Отдел развития экономики, проектов и внешнеэкономических связей администрации Приаргунского муниципального округа Забайкальского края</w:t>
            </w:r>
          </w:p>
        </w:tc>
      </w:tr>
    </w:tbl>
    <w:p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6A" w:rsidRDefault="00A7496A" w:rsidP="00F6323A">
      <w:r>
        <w:separator/>
      </w:r>
    </w:p>
  </w:endnote>
  <w:endnote w:type="continuationSeparator" w:id="0">
    <w:p w:rsidR="00A7496A" w:rsidRDefault="00A7496A" w:rsidP="00F6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6A" w:rsidRDefault="00A7496A" w:rsidP="00F6323A">
      <w:r>
        <w:separator/>
      </w:r>
    </w:p>
  </w:footnote>
  <w:footnote w:type="continuationSeparator" w:id="0">
    <w:p w:rsidR="00A7496A" w:rsidRDefault="00A7496A" w:rsidP="00F6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90005"/>
      <w:docPartObj>
        <w:docPartGallery w:val="Page Numbers (Top of Page)"/>
        <w:docPartUnique/>
      </w:docPartObj>
    </w:sdtPr>
    <w:sdtContent>
      <w:p w:rsidR="00817E17" w:rsidRDefault="00F62652">
        <w:pPr>
          <w:pStyle w:val="a9"/>
          <w:jc w:val="center"/>
        </w:pPr>
        <w:r>
          <w:fldChar w:fldCharType="begin"/>
        </w:r>
        <w:r w:rsidR="00817E17">
          <w:instrText>PAGE   \* MERGEFORMAT</w:instrText>
        </w:r>
        <w:r>
          <w:fldChar w:fldCharType="separate"/>
        </w:r>
        <w:r w:rsidR="009E3560">
          <w:rPr>
            <w:noProof/>
          </w:rPr>
          <w:t>5</w:t>
        </w:r>
        <w:r>
          <w:fldChar w:fldCharType="end"/>
        </w:r>
      </w:p>
    </w:sdtContent>
  </w:sdt>
  <w:p w:rsidR="00817E17" w:rsidRDefault="00817E1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21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25"/>
  </w:num>
  <w:num w:numId="16">
    <w:abstractNumId w:val="12"/>
  </w:num>
  <w:num w:numId="17">
    <w:abstractNumId w:val="4"/>
  </w:num>
  <w:num w:numId="18">
    <w:abstractNumId w:val="19"/>
  </w:num>
  <w:num w:numId="19">
    <w:abstractNumId w:val="11"/>
  </w:num>
  <w:num w:numId="20">
    <w:abstractNumId w:val="7"/>
  </w:num>
  <w:num w:numId="21">
    <w:abstractNumId w:val="15"/>
  </w:num>
  <w:num w:numId="22">
    <w:abstractNumId w:val="22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2C7"/>
    <w:rsid w:val="00030DB0"/>
    <w:rsid w:val="0003491C"/>
    <w:rsid w:val="00045C11"/>
    <w:rsid w:val="00086C73"/>
    <w:rsid w:val="000A669D"/>
    <w:rsid w:val="000B748B"/>
    <w:rsid w:val="000E27F3"/>
    <w:rsid w:val="000F2855"/>
    <w:rsid w:val="0014474E"/>
    <w:rsid w:val="00164619"/>
    <w:rsid w:val="0017042C"/>
    <w:rsid w:val="0017331E"/>
    <w:rsid w:val="00177BE3"/>
    <w:rsid w:val="001B4E28"/>
    <w:rsid w:val="002241F0"/>
    <w:rsid w:val="00226CB8"/>
    <w:rsid w:val="002462A9"/>
    <w:rsid w:val="0026053F"/>
    <w:rsid w:val="002A2700"/>
    <w:rsid w:val="0031132F"/>
    <w:rsid w:val="00312A13"/>
    <w:rsid w:val="00371D0C"/>
    <w:rsid w:val="00372180"/>
    <w:rsid w:val="00392009"/>
    <w:rsid w:val="003A72C4"/>
    <w:rsid w:val="0042478F"/>
    <w:rsid w:val="00433A23"/>
    <w:rsid w:val="004F3C7F"/>
    <w:rsid w:val="00501E68"/>
    <w:rsid w:val="00504AA5"/>
    <w:rsid w:val="00515A44"/>
    <w:rsid w:val="00540733"/>
    <w:rsid w:val="0054525E"/>
    <w:rsid w:val="0054777D"/>
    <w:rsid w:val="0056504E"/>
    <w:rsid w:val="00607F0F"/>
    <w:rsid w:val="00666945"/>
    <w:rsid w:val="006D3DD4"/>
    <w:rsid w:val="006E40C9"/>
    <w:rsid w:val="00706967"/>
    <w:rsid w:val="00713599"/>
    <w:rsid w:val="00780B64"/>
    <w:rsid w:val="007901D9"/>
    <w:rsid w:val="00817E17"/>
    <w:rsid w:val="008729BB"/>
    <w:rsid w:val="008A560E"/>
    <w:rsid w:val="008F0831"/>
    <w:rsid w:val="008F2AE7"/>
    <w:rsid w:val="00901054"/>
    <w:rsid w:val="00973A39"/>
    <w:rsid w:val="009873DB"/>
    <w:rsid w:val="009C76CD"/>
    <w:rsid w:val="009D6944"/>
    <w:rsid w:val="009E3560"/>
    <w:rsid w:val="009F11DC"/>
    <w:rsid w:val="00A7496A"/>
    <w:rsid w:val="00A878B6"/>
    <w:rsid w:val="00AD3EFE"/>
    <w:rsid w:val="00B51075"/>
    <w:rsid w:val="00B943ED"/>
    <w:rsid w:val="00B96E28"/>
    <w:rsid w:val="00BA2492"/>
    <w:rsid w:val="00C11A9B"/>
    <w:rsid w:val="00C1667F"/>
    <w:rsid w:val="00C719DB"/>
    <w:rsid w:val="00CD02CA"/>
    <w:rsid w:val="00CD22C7"/>
    <w:rsid w:val="00CF62AF"/>
    <w:rsid w:val="00D5184C"/>
    <w:rsid w:val="00D529EF"/>
    <w:rsid w:val="00D55E21"/>
    <w:rsid w:val="00D66AD8"/>
    <w:rsid w:val="00DA6C06"/>
    <w:rsid w:val="00DB6F9B"/>
    <w:rsid w:val="00E015B2"/>
    <w:rsid w:val="00E32769"/>
    <w:rsid w:val="00E46C92"/>
    <w:rsid w:val="00E8449E"/>
    <w:rsid w:val="00EE5542"/>
    <w:rsid w:val="00F62652"/>
    <w:rsid w:val="00F6323A"/>
    <w:rsid w:val="00F91EFA"/>
    <w:rsid w:val="00F97613"/>
    <w:rsid w:val="00FB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45C11"/>
    <w:rPr>
      <w:color w:val="0000FF" w:themeColor="hyperlink"/>
      <w:u w:val="single"/>
    </w:rPr>
  </w:style>
  <w:style w:type="character" w:customStyle="1" w:styleId="FontStyle21">
    <w:name w:val="Font Style21"/>
    <w:uiPriority w:val="99"/>
    <w:rsid w:val="00226CB8"/>
    <w:rPr>
      <w:rFonts w:ascii="Times New Roman" w:hAnsi="Times New Roman" w:cs="Times New Roman" w:hint="default"/>
      <w:sz w:val="26"/>
      <w:szCs w:val="26"/>
    </w:rPr>
  </w:style>
  <w:style w:type="paragraph" w:customStyle="1" w:styleId="msonormalmrcssattr">
    <w:name w:val="msonormal_mr_css_attr"/>
    <w:basedOn w:val="a"/>
    <w:rsid w:val="000E27F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deyatel-nost/otdel-ekonomiki/investicionnaya-deyatel-nos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arg.75.ru/deyatel-nost/maloe-i-srednee-predprinimatel-stvo/yarma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D02D-2EF3-44FC-AFD0-F964951C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Анна</dc:creator>
  <cp:lastModifiedBy>Dexp</cp:lastModifiedBy>
  <cp:revision>24</cp:revision>
  <dcterms:created xsi:type="dcterms:W3CDTF">2023-06-21T04:21:00Z</dcterms:created>
  <dcterms:modified xsi:type="dcterms:W3CDTF">2026-03-27T00:49:00Z</dcterms:modified>
</cp:coreProperties>
</file>