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011" w:rsidRDefault="00B25011" w:rsidP="005F6192">
      <w:pPr>
        <w:spacing w:after="375" w:line="240" w:lineRule="auto"/>
        <w:jc w:val="center"/>
        <w:outlineLvl w:val="0"/>
        <w:rPr>
          <w:rFonts w:ascii="Times New Roman" w:eastAsia="Times New Roman" w:hAnsi="Times New Roman" w:cs="Times New Roman"/>
          <w:b/>
          <w:color w:val="000000"/>
          <w:kern w:val="36"/>
          <w:sz w:val="45"/>
          <w:szCs w:val="45"/>
          <w:lang w:eastAsia="ru-RU"/>
        </w:rPr>
      </w:pPr>
      <w:r>
        <w:rPr>
          <w:rFonts w:ascii="Times New Roman" w:eastAsia="Times New Roman" w:hAnsi="Times New Roman" w:cs="Times New Roman"/>
          <w:b/>
          <w:noProof/>
          <w:color w:val="000000"/>
          <w:kern w:val="36"/>
          <w:sz w:val="45"/>
          <w:szCs w:val="45"/>
          <w:lang w:eastAsia="ru-RU"/>
        </w:rPr>
        <w:drawing>
          <wp:anchor distT="0" distB="0" distL="114300" distR="114300" simplePos="0" relativeHeight="251658240" behindDoc="1" locked="0" layoutInCell="1" allowOverlap="1">
            <wp:simplePos x="0" y="0"/>
            <wp:positionH relativeFrom="column">
              <wp:posOffset>879033</wp:posOffset>
            </wp:positionH>
            <wp:positionV relativeFrom="paragraph">
              <wp:posOffset>-107840</wp:posOffset>
            </wp:positionV>
            <wp:extent cx="4163667" cy="2623931"/>
            <wp:effectExtent l="19050" t="0" r="8283" b="0"/>
            <wp:wrapNone/>
            <wp:docPr id="1" name="Рисунок 1" descr="https://temkino.admin-smolensk.ru/files/1023/resize/132_235_17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mkino.admin-smolensk.ru/files/1023/resize/132_235_176.jpg">
                      <a:hlinkClick r:id="rId4"/>
                    </pic:cNvPr>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63667" cy="2623931"/>
                    </a:xfrm>
                    <a:prstGeom prst="rect">
                      <a:avLst/>
                    </a:prstGeom>
                    <a:noFill/>
                    <a:ln>
                      <a:noFill/>
                    </a:ln>
                  </pic:spPr>
                </pic:pic>
              </a:graphicData>
            </a:graphic>
          </wp:anchor>
        </w:drawing>
      </w:r>
    </w:p>
    <w:p w:rsidR="00B25011" w:rsidRDefault="00B25011" w:rsidP="005F6192">
      <w:pPr>
        <w:spacing w:after="375" w:line="240" w:lineRule="auto"/>
        <w:jc w:val="center"/>
        <w:outlineLvl w:val="0"/>
        <w:rPr>
          <w:rFonts w:ascii="Times New Roman" w:eastAsia="Times New Roman" w:hAnsi="Times New Roman" w:cs="Times New Roman"/>
          <w:b/>
          <w:color w:val="000000"/>
          <w:kern w:val="36"/>
          <w:sz w:val="45"/>
          <w:szCs w:val="45"/>
          <w:lang w:eastAsia="ru-RU"/>
        </w:rPr>
      </w:pPr>
    </w:p>
    <w:p w:rsidR="00B25011" w:rsidRDefault="00B25011" w:rsidP="005F6192">
      <w:pPr>
        <w:spacing w:after="375" w:line="240" w:lineRule="auto"/>
        <w:jc w:val="center"/>
        <w:outlineLvl w:val="0"/>
        <w:rPr>
          <w:rFonts w:ascii="Times New Roman" w:eastAsia="Times New Roman" w:hAnsi="Times New Roman" w:cs="Times New Roman"/>
          <w:b/>
          <w:color w:val="000000"/>
          <w:kern w:val="36"/>
          <w:sz w:val="45"/>
          <w:szCs w:val="45"/>
          <w:lang w:eastAsia="ru-RU"/>
        </w:rPr>
      </w:pPr>
    </w:p>
    <w:p w:rsidR="00B25011" w:rsidRDefault="00B25011" w:rsidP="005F6192">
      <w:pPr>
        <w:spacing w:after="375" w:line="240" w:lineRule="auto"/>
        <w:jc w:val="center"/>
        <w:outlineLvl w:val="0"/>
        <w:rPr>
          <w:rFonts w:ascii="Times New Roman" w:eastAsia="Times New Roman" w:hAnsi="Times New Roman" w:cs="Times New Roman"/>
          <w:b/>
          <w:color w:val="000000"/>
          <w:kern w:val="36"/>
          <w:sz w:val="45"/>
          <w:szCs w:val="45"/>
          <w:lang w:eastAsia="ru-RU"/>
        </w:rPr>
      </w:pPr>
    </w:p>
    <w:p w:rsidR="00B25011" w:rsidRDefault="00B25011" w:rsidP="005F6192">
      <w:pPr>
        <w:spacing w:after="375" w:line="240" w:lineRule="auto"/>
        <w:jc w:val="center"/>
        <w:outlineLvl w:val="0"/>
        <w:rPr>
          <w:rFonts w:ascii="Times New Roman" w:eastAsia="Times New Roman" w:hAnsi="Times New Roman" w:cs="Times New Roman"/>
          <w:b/>
          <w:color w:val="000000"/>
          <w:kern w:val="36"/>
          <w:sz w:val="45"/>
          <w:szCs w:val="45"/>
          <w:lang w:eastAsia="ru-RU"/>
        </w:rPr>
      </w:pPr>
    </w:p>
    <w:p w:rsidR="005F6192" w:rsidRPr="00B25011" w:rsidRDefault="005F6192" w:rsidP="005F6192">
      <w:pPr>
        <w:spacing w:after="375" w:line="240" w:lineRule="auto"/>
        <w:jc w:val="center"/>
        <w:outlineLvl w:val="0"/>
        <w:rPr>
          <w:rFonts w:ascii="Times New Roman" w:eastAsia="Times New Roman" w:hAnsi="Times New Roman" w:cs="Times New Roman"/>
          <w:b/>
          <w:color w:val="000000"/>
          <w:kern w:val="36"/>
          <w:sz w:val="45"/>
          <w:szCs w:val="45"/>
          <w:lang w:eastAsia="ru-RU"/>
        </w:rPr>
      </w:pPr>
      <w:r w:rsidRPr="00B25011">
        <w:rPr>
          <w:rFonts w:ascii="Times New Roman" w:eastAsia="Times New Roman" w:hAnsi="Times New Roman" w:cs="Times New Roman"/>
          <w:b/>
          <w:color w:val="000000"/>
          <w:kern w:val="36"/>
          <w:sz w:val="45"/>
          <w:szCs w:val="45"/>
          <w:lang w:eastAsia="ru-RU"/>
        </w:rPr>
        <w:t xml:space="preserve">Памятка работнику по легализации трудовых отношений и негативных </w:t>
      </w:r>
      <w:proofErr w:type="gramStart"/>
      <w:r w:rsidRPr="00B25011">
        <w:rPr>
          <w:rFonts w:ascii="Times New Roman" w:eastAsia="Times New Roman" w:hAnsi="Times New Roman" w:cs="Times New Roman"/>
          <w:b/>
          <w:color w:val="000000"/>
          <w:kern w:val="36"/>
          <w:sz w:val="45"/>
          <w:szCs w:val="45"/>
          <w:lang w:eastAsia="ru-RU"/>
        </w:rPr>
        <w:t>последствиях</w:t>
      </w:r>
      <w:proofErr w:type="gramEnd"/>
      <w:r w:rsidRPr="00B25011">
        <w:rPr>
          <w:rFonts w:ascii="Times New Roman" w:eastAsia="Times New Roman" w:hAnsi="Times New Roman" w:cs="Times New Roman"/>
          <w:b/>
          <w:color w:val="000000"/>
          <w:kern w:val="36"/>
          <w:sz w:val="45"/>
          <w:szCs w:val="45"/>
          <w:lang w:eastAsia="ru-RU"/>
        </w:rPr>
        <w:t xml:space="preserve"> неформальной занятости</w:t>
      </w:r>
      <w:r w:rsidRPr="00B25011">
        <w:rPr>
          <w:rFonts w:ascii="Times New Roman" w:eastAsia="Times New Roman" w:hAnsi="Times New Roman" w:cs="Times New Roman"/>
          <w:b/>
          <w:color w:val="353535"/>
          <w:sz w:val="21"/>
          <w:szCs w:val="21"/>
          <w:lang w:eastAsia="ru-RU"/>
        </w:rPr>
        <w:t> </w:t>
      </w:r>
    </w:p>
    <w:p w:rsidR="00B25011" w:rsidRDefault="005F6192"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t xml:space="preserve">   </w:t>
      </w:r>
      <w:r w:rsidR="00B25011">
        <w:rPr>
          <w:rFonts w:ascii="Times New Roman" w:eastAsia="Times New Roman" w:hAnsi="Times New Roman" w:cs="Times New Roman"/>
          <w:sz w:val="28"/>
          <w:szCs w:val="28"/>
          <w:lang w:eastAsia="ru-RU"/>
        </w:rPr>
        <w:t xml:space="preserve">   Администрация Приаргунского муниципального округа Забайкальского края </w:t>
      </w:r>
      <w:r w:rsidRPr="005F6192">
        <w:rPr>
          <w:rFonts w:ascii="Times New Roman" w:eastAsia="Times New Roman" w:hAnsi="Times New Roman" w:cs="Times New Roman"/>
          <w:sz w:val="28"/>
          <w:szCs w:val="28"/>
          <w:lang w:eastAsia="ru-RU"/>
        </w:rPr>
        <w:t xml:space="preserve">информирует работников о негативных последствиях теневой занятости. В случае, если Вы или Ваши близкие столкнулись с фактами уклонения работодателей от заключения трудовых договоров с работниками или выплаты «серой» заработной платы в </w:t>
      </w:r>
      <w:r w:rsidR="00B25011">
        <w:rPr>
          <w:rFonts w:ascii="Times New Roman" w:eastAsia="Times New Roman" w:hAnsi="Times New Roman" w:cs="Times New Roman"/>
          <w:sz w:val="28"/>
          <w:szCs w:val="28"/>
          <w:lang w:eastAsia="ru-RU"/>
        </w:rPr>
        <w:t>Приаргунском округе</w:t>
      </w:r>
      <w:r w:rsidRPr="005F6192">
        <w:rPr>
          <w:rFonts w:ascii="Times New Roman" w:eastAsia="Times New Roman" w:hAnsi="Times New Roman" w:cs="Times New Roman"/>
          <w:sz w:val="28"/>
          <w:szCs w:val="28"/>
          <w:lang w:eastAsia="ru-RU"/>
        </w:rPr>
        <w:t xml:space="preserve">, Вы можете об этом сообщить (можно АНОНИМНО), </w:t>
      </w:r>
      <w:r w:rsidR="00B25011">
        <w:rPr>
          <w:rFonts w:ascii="Times New Roman" w:eastAsia="Times New Roman" w:hAnsi="Times New Roman" w:cs="Times New Roman"/>
          <w:sz w:val="28"/>
          <w:szCs w:val="28"/>
          <w:lang w:eastAsia="ru-RU"/>
        </w:rPr>
        <w:t>позвонив на горячую линию 8-30-243-2-16-18, либо сообщить лично в администрацию Приаргунского муниципального округа Забайкальского края по адресу пгт.</w:t>
      </w:r>
      <w:proofErr w:type="gramStart"/>
      <w:r w:rsidR="00B25011">
        <w:rPr>
          <w:rFonts w:ascii="Times New Roman" w:eastAsia="Times New Roman" w:hAnsi="Times New Roman" w:cs="Times New Roman"/>
          <w:sz w:val="28"/>
          <w:szCs w:val="28"/>
          <w:lang w:eastAsia="ru-RU"/>
        </w:rPr>
        <w:t xml:space="preserve"> </w:t>
      </w:r>
      <w:proofErr w:type="gramEnd"/>
      <w:r w:rsidR="00B25011">
        <w:rPr>
          <w:rFonts w:ascii="Times New Roman" w:eastAsia="Times New Roman" w:hAnsi="Times New Roman" w:cs="Times New Roman"/>
          <w:sz w:val="28"/>
          <w:szCs w:val="28"/>
          <w:lang w:eastAsia="ru-RU"/>
        </w:rPr>
        <w:t>Приаргунск, ул. Ленина 6 (кабинет №30)</w:t>
      </w:r>
      <w:r w:rsidRPr="005F6192">
        <w:rPr>
          <w:rFonts w:ascii="Times New Roman" w:eastAsia="Times New Roman" w:hAnsi="Times New Roman" w:cs="Times New Roman"/>
          <w:sz w:val="28"/>
          <w:szCs w:val="28"/>
          <w:lang w:eastAsia="ru-RU"/>
        </w:rPr>
        <w:t>.  </w:t>
      </w:r>
    </w:p>
    <w:p w:rsidR="00B25011" w:rsidRDefault="005F6192" w:rsidP="00B25011">
      <w:pPr>
        <w:spacing w:after="0" w:line="240" w:lineRule="auto"/>
        <w:ind w:firstLine="709"/>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t xml:space="preserve">Каждый человек должен понимать, что за свое благополучие, заработную плату именно он несет ответственность. И никакой работодатель не может заставить его получать «зарплату в конвертах». Необходимо соизмерять эти риски и не соглашаться на невыгодные условия труда. Трудовые отношения по устной договоренности о размере заработной платы без документального оформления приводят к ряду негативных последствий для работников: способствуют массовому несоблюдению трудовых и пенсионных прав работников; от оформления трудовых отношений зависят социальные гарантии граждан: возможность получить пенсионное и социальное обеспечение, а также предусмотренные законодательством социальные и имущественные налоговые вычеты. Соглашаясь с такой формой расчетов, граждане лишают себя возможности оплаты: отпусков, больничных листов, пособия по безработице, пособий по беременности и родам и уходу за ребенком, выходного пособия при увольнении по сокращению численности или штата, поскольку при начислении этих выплат также учитывается официальная заработная плата; «теневая» зарплата </w:t>
      </w:r>
      <w:r w:rsidRPr="005F6192">
        <w:rPr>
          <w:rFonts w:ascii="Times New Roman" w:eastAsia="Times New Roman" w:hAnsi="Times New Roman" w:cs="Times New Roman"/>
          <w:sz w:val="28"/>
          <w:szCs w:val="28"/>
          <w:lang w:eastAsia="ru-RU"/>
        </w:rPr>
        <w:lastRenderedPageBreak/>
        <w:t xml:space="preserve">ограничивает права работников при возникновении потребности воспользоваться ипотечным или потребительским кредитами, поскольку одобрение получения кредита зависит от размера официальной зарплаты работника. </w:t>
      </w:r>
    </w:p>
    <w:p w:rsidR="00B25011" w:rsidRDefault="005F6192" w:rsidP="00B25011">
      <w:pPr>
        <w:spacing w:after="0" w:line="240" w:lineRule="auto"/>
        <w:ind w:firstLine="709"/>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t> К рискам теневой занятости населения можно также отнести: выполнение не предусмотренных договором обязанностей; не соответствие условий труда нормам трудового законодательства; увольнение (прекращение работы) без объяснения причин;  минимальный размер пособия по безработице;  невозможность доказать стаж и опыт предыдущей работы при попытках трудоустройства к другому работодателю и для целей пенсионного обеспечения.  </w:t>
      </w:r>
    </w:p>
    <w:p w:rsidR="005F6192" w:rsidRPr="005F6192" w:rsidRDefault="005F6192" w:rsidP="00B25011">
      <w:pPr>
        <w:spacing w:after="0" w:line="240" w:lineRule="auto"/>
        <w:ind w:firstLine="709"/>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t>Преимуществами официального трудоустройства являются: официальная заработная плата, получаемая своевременно и в полном объеме;  получение гарантированных выплат;  социальное страхование работников в соответствии с федеральными законами;  оплачиваемый больничный лист и отпуск;  возможность получения пособий по беременности и родам, по уходу за ребенком до 1,5 лет;  стаж и отчисления от зарплаты работника в пенсионный фонд, учитываются для целей</w:t>
      </w:r>
      <w:r w:rsidR="00B25011">
        <w:rPr>
          <w:rFonts w:ascii="Times New Roman" w:eastAsia="Times New Roman" w:hAnsi="Times New Roman" w:cs="Times New Roman"/>
          <w:sz w:val="28"/>
          <w:szCs w:val="28"/>
          <w:lang w:eastAsia="ru-RU"/>
        </w:rPr>
        <w:t>,</w:t>
      </w:r>
      <w:r w:rsidRPr="005F6192">
        <w:rPr>
          <w:rFonts w:ascii="Times New Roman" w:eastAsia="Times New Roman" w:hAnsi="Times New Roman" w:cs="Times New Roman"/>
          <w:sz w:val="28"/>
          <w:szCs w:val="28"/>
          <w:lang w:eastAsia="ru-RU"/>
        </w:rPr>
        <w:t xml:space="preserve"> которые необходимы для получения достойной пенсии при достижении пенсионного возраста;  выполнение установленных требований в сфере охраны труда;  возможность получения налоговых вычетов по налогу на доходы физических лиц.  </w:t>
      </w:r>
    </w:p>
    <w:p w:rsidR="005F6192" w:rsidRPr="005F6192" w:rsidRDefault="005F6192"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t> </w:t>
      </w:r>
    </w:p>
    <w:p w:rsidR="005F6192" w:rsidRPr="005F6192" w:rsidRDefault="005F6192" w:rsidP="00B25011">
      <w:pPr>
        <w:spacing w:after="0" w:line="240" w:lineRule="auto"/>
        <w:jc w:val="center"/>
        <w:rPr>
          <w:rFonts w:ascii="Times New Roman" w:eastAsia="Times New Roman" w:hAnsi="Times New Roman" w:cs="Times New Roman"/>
          <w:b/>
          <w:bCs/>
          <w:sz w:val="28"/>
          <w:szCs w:val="28"/>
          <w:lang w:eastAsia="ru-RU"/>
        </w:rPr>
      </w:pPr>
      <w:r w:rsidRPr="005F6192">
        <w:rPr>
          <w:rFonts w:ascii="Times New Roman" w:eastAsia="Times New Roman" w:hAnsi="Times New Roman" w:cs="Times New Roman"/>
          <w:b/>
          <w:bCs/>
          <w:sz w:val="28"/>
          <w:szCs w:val="28"/>
          <w:lang w:eastAsia="ru-RU"/>
        </w:rPr>
        <w:t>Уважаемые граждане!</w:t>
      </w:r>
    </w:p>
    <w:p w:rsidR="005F6192" w:rsidRPr="005F6192" w:rsidRDefault="005F6192"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t xml:space="preserve">       Нанимаясь на работу, подумайте о своем будущем! Не поддавайтесь на преимущества временных удобств. Ведь пообещав заработную плату в "конверте", как и работу без оформления трудового договора, работодатель не берет на себя никаких обязательств, а наоборот, может не выплатить заработную плату вообще. В таком случае</w:t>
      </w:r>
      <w:r w:rsidR="00B25011">
        <w:rPr>
          <w:rFonts w:ascii="Times New Roman" w:eastAsia="Times New Roman" w:hAnsi="Times New Roman" w:cs="Times New Roman"/>
          <w:sz w:val="28"/>
          <w:szCs w:val="28"/>
          <w:lang w:eastAsia="ru-RU"/>
        </w:rPr>
        <w:t xml:space="preserve"> </w:t>
      </w:r>
      <w:r w:rsidRPr="005F6192">
        <w:rPr>
          <w:rFonts w:ascii="Times New Roman" w:eastAsia="Times New Roman" w:hAnsi="Times New Roman" w:cs="Times New Roman"/>
          <w:sz w:val="28"/>
          <w:szCs w:val="28"/>
          <w:lang w:eastAsia="ru-RU"/>
        </w:rPr>
        <w:t>у вас не будет никаких доказательств из-за отсутствия оформленных трудовых отношений. Закон не сможет защитить ваши интересы. Опасность заработка в "конверте", неоформленных трудовых отношений еще и в том, что человек автоматически теряет право на социальные блага, а в конечном итоге от этого страдают простые люди. От получения "серой" зарплаты или зарплаты "в конверте" страдает только сам работник: ведь страховые взносы в Пенсионный фонд уплачиваются работодателем с фонда оплаты труда предприятия, а не удерживаются из заработной платы сотрудников. И не нужно забывать про уголовную ответственность! Налоги с зарплат работников уплачивает работодатель. Однако если дело дойдет до суда, работник должен быть готов доказать свою непричастность к уклонению от уплаты налогов.</w:t>
      </w:r>
    </w:p>
    <w:p w:rsidR="005F6192" w:rsidRPr="005F6192" w:rsidRDefault="005F6192"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t> </w:t>
      </w:r>
    </w:p>
    <w:p w:rsidR="005F6192" w:rsidRPr="005F6192" w:rsidRDefault="005F6192" w:rsidP="00B25011">
      <w:pPr>
        <w:spacing w:after="0" w:line="240" w:lineRule="auto"/>
        <w:jc w:val="center"/>
        <w:rPr>
          <w:rFonts w:ascii="Times New Roman" w:eastAsia="Times New Roman" w:hAnsi="Times New Roman" w:cs="Times New Roman"/>
          <w:sz w:val="28"/>
          <w:szCs w:val="28"/>
          <w:lang w:eastAsia="ru-RU"/>
        </w:rPr>
      </w:pPr>
      <w:r w:rsidRPr="005F6192">
        <w:rPr>
          <w:rFonts w:ascii="Times New Roman" w:eastAsia="Times New Roman" w:hAnsi="Times New Roman" w:cs="Times New Roman"/>
          <w:b/>
          <w:bCs/>
          <w:sz w:val="28"/>
          <w:szCs w:val="28"/>
          <w:lang w:eastAsia="ru-RU"/>
        </w:rPr>
        <w:t>Обратите внимание!</w:t>
      </w:r>
    </w:p>
    <w:p w:rsidR="005F6192" w:rsidRPr="005F6192" w:rsidRDefault="005F6192"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t>Ответственность физического лица за указанное деяние установлена </w:t>
      </w:r>
      <w:hyperlink r:id="rId6" w:tgtFrame="_blank" w:history="1">
        <w:r w:rsidRPr="005F6192">
          <w:rPr>
            <w:rFonts w:ascii="Times New Roman" w:eastAsia="Times New Roman" w:hAnsi="Times New Roman" w:cs="Times New Roman"/>
            <w:sz w:val="28"/>
            <w:szCs w:val="28"/>
            <w:u w:val="single"/>
            <w:lang w:eastAsia="ru-RU"/>
          </w:rPr>
          <w:t>ст. 122</w:t>
        </w:r>
      </w:hyperlink>
      <w:r w:rsidRPr="005F6192">
        <w:rPr>
          <w:rFonts w:ascii="Times New Roman" w:eastAsia="Times New Roman" w:hAnsi="Times New Roman" w:cs="Times New Roman"/>
          <w:sz w:val="28"/>
          <w:szCs w:val="28"/>
          <w:lang w:eastAsia="ru-RU"/>
        </w:rPr>
        <w:t> Налогового кодекса РФ и </w:t>
      </w:r>
      <w:hyperlink r:id="rId7" w:tgtFrame="_blank" w:history="1">
        <w:r w:rsidRPr="005F6192">
          <w:rPr>
            <w:rFonts w:ascii="Times New Roman" w:eastAsia="Times New Roman" w:hAnsi="Times New Roman" w:cs="Times New Roman"/>
            <w:sz w:val="28"/>
            <w:szCs w:val="28"/>
            <w:u w:val="single"/>
            <w:lang w:eastAsia="ru-RU"/>
          </w:rPr>
          <w:t>ст. 198</w:t>
        </w:r>
      </w:hyperlink>
      <w:r w:rsidRPr="005F6192">
        <w:rPr>
          <w:rFonts w:ascii="Times New Roman" w:eastAsia="Times New Roman" w:hAnsi="Times New Roman" w:cs="Times New Roman"/>
          <w:sz w:val="28"/>
          <w:szCs w:val="28"/>
          <w:lang w:eastAsia="ru-RU"/>
        </w:rPr>
        <w:t> Уголовного кодекса РФ.</w:t>
      </w:r>
    </w:p>
    <w:p w:rsidR="005F6192" w:rsidRPr="005F6192" w:rsidRDefault="005F6192"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lastRenderedPageBreak/>
        <w:t>Согласно </w:t>
      </w:r>
      <w:hyperlink r:id="rId8" w:tgtFrame="_blank" w:history="1">
        <w:r w:rsidRPr="005F6192">
          <w:rPr>
            <w:rFonts w:ascii="Times New Roman" w:eastAsia="Times New Roman" w:hAnsi="Times New Roman" w:cs="Times New Roman"/>
            <w:sz w:val="28"/>
            <w:szCs w:val="28"/>
            <w:u w:val="single"/>
            <w:lang w:eastAsia="ru-RU"/>
          </w:rPr>
          <w:t>ст. 122</w:t>
        </w:r>
      </w:hyperlink>
      <w:r w:rsidRPr="005F6192">
        <w:rPr>
          <w:rFonts w:ascii="Times New Roman" w:eastAsia="Times New Roman" w:hAnsi="Times New Roman" w:cs="Times New Roman"/>
          <w:sz w:val="28"/>
          <w:szCs w:val="28"/>
          <w:lang w:eastAsia="ru-RU"/>
        </w:rPr>
        <w:t> НК РФ штраф за неуплату налогов может составлять от 20% до 40% от неуплаченной суммы.</w:t>
      </w:r>
    </w:p>
    <w:p w:rsidR="005F6192" w:rsidRPr="005F6192" w:rsidRDefault="005F6192" w:rsidP="005F6192">
      <w:pPr>
        <w:spacing w:after="0" w:line="240" w:lineRule="auto"/>
        <w:jc w:val="both"/>
        <w:rPr>
          <w:rFonts w:ascii="Times New Roman" w:eastAsia="Times New Roman" w:hAnsi="Times New Roman" w:cs="Times New Roman"/>
          <w:sz w:val="28"/>
          <w:szCs w:val="28"/>
          <w:lang w:eastAsia="ru-RU"/>
        </w:rPr>
      </w:pPr>
      <w:proofErr w:type="gramStart"/>
      <w:r w:rsidRPr="005F6192">
        <w:rPr>
          <w:rFonts w:ascii="Times New Roman" w:eastAsia="Times New Roman" w:hAnsi="Times New Roman" w:cs="Times New Roman"/>
          <w:sz w:val="28"/>
          <w:szCs w:val="28"/>
          <w:lang w:eastAsia="ru-RU"/>
        </w:rPr>
        <w:t>Согласно </w:t>
      </w:r>
      <w:hyperlink r:id="rId9" w:tgtFrame="_blank" w:history="1">
        <w:r w:rsidRPr="005F6192">
          <w:rPr>
            <w:rFonts w:ascii="Times New Roman" w:eastAsia="Times New Roman" w:hAnsi="Times New Roman" w:cs="Times New Roman"/>
            <w:sz w:val="28"/>
            <w:szCs w:val="28"/>
            <w:u w:val="single"/>
            <w:lang w:eastAsia="ru-RU"/>
          </w:rPr>
          <w:t>ст. 198</w:t>
        </w:r>
      </w:hyperlink>
      <w:r w:rsidRPr="005F6192">
        <w:rPr>
          <w:rFonts w:ascii="Times New Roman" w:eastAsia="Times New Roman" w:hAnsi="Times New Roman" w:cs="Times New Roman"/>
          <w:sz w:val="28"/>
          <w:szCs w:val="28"/>
          <w:lang w:eastAsia="ru-RU"/>
        </w:rPr>
        <w:t> УК РФ уклонение от уплаты налогов наказывается штрафом в размере от 100 000 до 300 000 руб., или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F6192" w:rsidRPr="005F6192" w:rsidRDefault="00094509"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fldChar w:fldCharType="begin"/>
      </w:r>
      <w:r w:rsidR="005F6192" w:rsidRPr="005F6192">
        <w:rPr>
          <w:rFonts w:ascii="Times New Roman" w:eastAsia="Times New Roman" w:hAnsi="Times New Roman" w:cs="Times New Roman"/>
          <w:sz w:val="28"/>
          <w:szCs w:val="28"/>
          <w:lang w:eastAsia="ru-RU"/>
        </w:rPr>
        <w:instrText xml:space="preserve"> HYPERLINK "https://temkino.admin-smolensk.ru/files/1023/1322.jpg" </w:instrText>
      </w:r>
      <w:r w:rsidRPr="005F6192">
        <w:rPr>
          <w:rFonts w:ascii="Times New Roman" w:eastAsia="Times New Roman" w:hAnsi="Times New Roman" w:cs="Times New Roman"/>
          <w:sz w:val="28"/>
          <w:szCs w:val="28"/>
          <w:lang w:eastAsia="ru-RU"/>
        </w:rPr>
        <w:fldChar w:fldCharType="separate"/>
      </w:r>
    </w:p>
    <w:p w:rsidR="005F6192" w:rsidRPr="005F6192" w:rsidRDefault="005F6192"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noProof/>
          <w:sz w:val="28"/>
          <w:szCs w:val="28"/>
          <w:lang w:eastAsia="ru-RU"/>
        </w:rPr>
        <w:drawing>
          <wp:inline distT="0" distB="0" distL="0" distR="0">
            <wp:extent cx="5446417" cy="4079019"/>
            <wp:effectExtent l="19050" t="0" r="1883" b="0"/>
            <wp:docPr id="2" name="Рисунок 2" descr="https://temkino.admin-smolensk.ru/files/1023/resize/1322_235_17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mkino.admin-smolensk.ru/files/1023/resize/1322_235_176.jpg">
                      <a:hlinkClick r:id="rId10"/>
                    </pic:cNvPr>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2116" cy="4075798"/>
                    </a:xfrm>
                    <a:prstGeom prst="rect">
                      <a:avLst/>
                    </a:prstGeom>
                    <a:noFill/>
                    <a:ln>
                      <a:noFill/>
                    </a:ln>
                  </pic:spPr>
                </pic:pic>
              </a:graphicData>
            </a:graphic>
          </wp:inline>
        </w:drawing>
      </w:r>
    </w:p>
    <w:p w:rsidR="005F6192" w:rsidRPr="005F6192" w:rsidRDefault="00094509" w:rsidP="005F6192">
      <w:pPr>
        <w:spacing w:after="0" w:line="240" w:lineRule="auto"/>
        <w:jc w:val="both"/>
        <w:rPr>
          <w:rFonts w:ascii="Times New Roman" w:eastAsia="Times New Roman" w:hAnsi="Times New Roman" w:cs="Times New Roman"/>
          <w:sz w:val="28"/>
          <w:szCs w:val="28"/>
          <w:lang w:eastAsia="ru-RU"/>
        </w:rPr>
      </w:pPr>
      <w:r w:rsidRPr="005F6192">
        <w:rPr>
          <w:rFonts w:ascii="Times New Roman" w:eastAsia="Times New Roman" w:hAnsi="Times New Roman" w:cs="Times New Roman"/>
          <w:sz w:val="28"/>
          <w:szCs w:val="28"/>
          <w:lang w:eastAsia="ru-RU"/>
        </w:rPr>
        <w:fldChar w:fldCharType="end"/>
      </w:r>
      <w:r w:rsidR="005F6192" w:rsidRPr="005F6192">
        <w:rPr>
          <w:rFonts w:ascii="Times New Roman" w:eastAsia="Times New Roman" w:hAnsi="Times New Roman" w:cs="Times New Roman"/>
          <w:sz w:val="28"/>
          <w:szCs w:val="28"/>
          <w:lang w:eastAsia="ru-RU"/>
        </w:rPr>
        <w:t> </w:t>
      </w:r>
    </w:p>
    <w:p w:rsidR="008822C9" w:rsidRPr="005F6192" w:rsidRDefault="00B25011" w:rsidP="005F6192">
      <w:pPr>
        <w:jc w:val="both"/>
        <w:rPr>
          <w:rFonts w:ascii="Times New Roman" w:hAnsi="Times New Roman" w:cs="Times New Roman"/>
          <w:sz w:val="28"/>
          <w:szCs w:val="28"/>
        </w:rPr>
      </w:pPr>
    </w:p>
    <w:sectPr w:rsidR="008822C9" w:rsidRPr="005F6192" w:rsidSect="006177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F6192"/>
    <w:rsid w:val="00094509"/>
    <w:rsid w:val="000A212B"/>
    <w:rsid w:val="000C752A"/>
    <w:rsid w:val="00382860"/>
    <w:rsid w:val="005F6192"/>
    <w:rsid w:val="00617766"/>
    <w:rsid w:val="00B25011"/>
    <w:rsid w:val="00F156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192"/>
    <w:pPr>
      <w:spacing w:after="160" w:line="259"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1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line/ref=DA01B698AFEA09CA59999EE28C113CA5061B27AAC9BF9B9A9C28BB6686C95B02330270A75Cs1gF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offline/ref=DA01B698AFEA09CA59999EE28C113CA5061923A9CDBE9B9A9C28BB6686C95B02330270AF5C1F0784s5g0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line/ref=DA01B698AFEA09CA59999EE28C113CA5061B27AAC9BF9B9A9C28BB6686C95B02330270A75Cs1gFN"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temkino.admin-smolensk.ru/files/1023/1322.jpg" TargetMode="External"/><Relationship Id="rId4" Type="http://schemas.openxmlformats.org/officeDocument/2006/relationships/hyperlink" Target="https://temkino.admin-smolensk.ru/files/1023/132.jpg" TargetMode="External"/><Relationship Id="rId9" Type="http://schemas.openxmlformats.org/officeDocument/2006/relationships/hyperlink" Target="http://offline/ref=DA01B698AFEA09CA59999EE28C113CA5061923A9CDBE9B9A9C28BB6686C95B02330270AF5C1F0784s5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4</cp:revision>
  <dcterms:created xsi:type="dcterms:W3CDTF">2026-05-06T01:42:00Z</dcterms:created>
  <dcterms:modified xsi:type="dcterms:W3CDTF">2026-05-06T02:04:00Z</dcterms:modified>
</cp:coreProperties>
</file>