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60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791681"/>
                <wp:effectExtent l="0" t="0" r="0" b="8890"/>
                <wp:docPr id="1" name="Рисунок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374754" cy="83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5pt;height:62.3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60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ind w:left="0" w:right="0" w:firstLine="0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«Земля для туризма» поможет развитий туристической инфраструктуры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Забайкальского края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 Перечень участков пополняется. 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rPr>
          <w:rStyle w:val="969"/>
          <w:rFonts w:ascii="Liberation Serif" w:hAnsi="Liberation Serif" w:cs="Liberation Serif"/>
          <w:b w:val="0"/>
          <w:i w:val="0"/>
          <w:iCs w:val="0"/>
          <w:sz w:val="28"/>
          <w:szCs w:val="28"/>
        </w:rPr>
      </w:pPr>
      <w:r>
        <w:rPr>
          <w:rFonts w:ascii="Liberation Serif" w:hAnsi="Liberation Serif" w:eastAsia="Liberation Serif" w:cs="Liberation Serif"/>
          <w:b w:val="0"/>
          <w:i w:val="0"/>
          <w:iCs w:val="0"/>
          <w:sz w:val="28"/>
          <w:szCs w:val="28"/>
        </w:rPr>
      </w:r>
      <w:r>
        <w:rPr>
          <w:rStyle w:val="969"/>
          <w:rFonts w:ascii="Liberation Serif" w:hAnsi="Liberation Serif" w:cs="Liberation Serif"/>
          <w:b w:val="0"/>
          <w:i w:val="0"/>
          <w:iCs w:val="0"/>
          <w:sz w:val="28"/>
          <w:szCs w:val="28"/>
        </w:rPr>
      </w:r>
      <w:r>
        <w:rPr>
          <w:rStyle w:val="969"/>
          <w:rFonts w:ascii="Liberation Serif" w:hAnsi="Liberation Serif" w:cs="Liberation Serif"/>
          <w:b w:val="0"/>
          <w:i w:val="0"/>
          <w:iCs w:val="0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Выявленные земельные участки и территории размещаются в сервисе «Земля для туризма» на цифровой платформе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«Национальная система пространственных данных» (НСПД) по ссылке: </w:t>
      </w:r>
      <w:r>
        <w:rPr>
          <w:rFonts w:ascii="Liberation Serif" w:hAnsi="Liberation Serif" w:eastAsia="Liberation Serif" w:cs="Liberation Serif"/>
          <w:sz w:val="28"/>
          <w:szCs w:val="28"/>
        </w:rPr>
      </w:r>
      <w:hyperlink r:id="rId16" w:tooltip="https://nspd.gov.ru/tourism-nspd" w:history="1">
        <w:r>
          <w:rPr>
            <w:rStyle w:val="963"/>
            <w:rFonts w:ascii="Liberation Serif" w:hAnsi="Liberation Serif" w:eastAsia="Liberation Serif" w:cs="Liberation Serif"/>
            <w:sz w:val="28"/>
            <w:szCs w:val="28"/>
          </w:rPr>
          <w:t xml:space="preserve">https://nspd.gov.ru/tourism-nspd</w:t>
        </w:r>
        <w:r>
          <w:rPr>
            <w:rStyle w:val="963"/>
            <w:rFonts w:ascii="Liberation Serif" w:hAnsi="Liberation Serif" w:eastAsia="Liberation Serif" w:cs="Liberation Serif"/>
            <w:sz w:val="28"/>
            <w:szCs w:val="28"/>
          </w:rPr>
        </w:r>
        <w:r>
          <w:rPr>
            <w:rStyle w:val="963"/>
            <w:rFonts w:ascii="Liberation Serif" w:hAnsi="Liberation Serif" w:eastAsia="Liberation Serif" w:cs="Liberation Serif"/>
            <w:sz w:val="28"/>
            <w:szCs w:val="28"/>
          </w:rPr>
        </w:r>
      </w:hyperlink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eastAsia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В рамках национального проекта «Туризм и гостеприимство» Росреестром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реализуется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проект «Земля для туризма». 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pStyle w:val="962"/>
        <w:numPr>
          <w:ilvl w:val="0"/>
          <w:numId w:val="7"/>
        </w:numPr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Целью проекта 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является выявление неиспользуемых земельных участков и территорий для строительства объектов туристической инфраструктуры. Проект позволит на онлайн-платформе размещать земельные участки, пригодные для строительства </w:t>
      </w:r>
      <w:bookmarkStart w:id="0" w:name="_GoBack"/>
      <w:r>
        <w:rPr>
          <w:rFonts w:ascii="Liberation Serif" w:hAnsi="Liberation Serif" w:eastAsia="Liberation Serif" w:cs="Liberation Serif"/>
          <w:sz w:val="28"/>
          <w:szCs w:val="28"/>
        </w:rPr>
      </w:r>
      <w:bookmarkEnd w:id="0"/>
      <w:r>
        <w:rPr>
          <w:rFonts w:ascii="Liberation Serif" w:hAnsi="Liberation Serif" w:eastAsia="Liberation Serif" w:cs="Liberation Serif"/>
          <w:sz w:val="28"/>
          <w:szCs w:val="28"/>
        </w:rPr>
        <w:t xml:space="preserve">объектов туристической индустрии, что поможет инвесторам оценить перспективы развития территорий в будущем, – отмечает Вячеслав Костин, председатель Общественного совета Управления Росреестра по Забайкальскому краю, представитель МКАО «Ареал».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pStyle w:val="974"/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74"/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Для реализации проекта сформирован оперативный штаб, куда вошли краевой Росреестр и профильные структуры. Штаб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на постоянной основе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определяет, формирует и обновляет  перечень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объектов туристского интереса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(ОТИ), вблизи которых целесообразно определять земельные участки и территории для вовлечения в туристическую деятельность</w:t>
      </w:r>
      <w:r>
        <w:rPr>
          <w:rFonts w:ascii="Liberation Serif" w:hAnsi="Liberation Serif" w:eastAsia="Liberation Serif" w:cs="Liberation Serif"/>
          <w:bCs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974"/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none"/>
          <w14:ligatures w14:val="none"/>
        </w:rPr>
      </w:r>
    </w:p>
    <w:p>
      <w:pPr>
        <w:pStyle w:val="974"/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Напомним, что в перечень ОТИ вошли такие объекты, как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Этно-археопарк «Сухотино» в г. Чита,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Ивано-Арахлейский природный парк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 и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экокурорт «Кука»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 в Читинском районе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,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ленд-парк «Тужи» в Хилокском районе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,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дом-музей с. Новосалия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 в Улётовском районе,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Даурский заповедник,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Торейские озера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,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туристическая база «Приононье»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 в Ононском районе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,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пещеры Хээтэй в Могойтуйском районе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,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туристическая база «Кочевник»,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маралья ферма «Зымка»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,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озеро Ножий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,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профилакторий «Угсахай»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в Агинском районе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,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этнокомплекс «Юсэг Туг»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 и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НП «Алханай»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 в Дульдургинском районе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,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Кондуйская церковь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 в Борзинском районе,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Быркинские скалы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 в Приаргунском районе,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Нерчинский краеведческий музей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 и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Успенская церковь в с. Калинино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 в Нерчинском районе,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НП «Чикой»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,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Ламский городок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,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экоотель «Шинки»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  <w:t xml:space="preserve"> в Красночикойском районе,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НП «Кодар»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в Каларском районе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  <w:highlight w:val="non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none"/>
          <w14:ligatures w14:val="none"/>
        </w:rPr>
      </w:r>
    </w:p>
    <w:p>
      <w:pPr>
        <w:pStyle w:val="974"/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bCs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962"/>
        <w:numPr>
          <w:ilvl w:val="0"/>
          <w:numId w:val="6"/>
        </w:numPr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Проект «Земля для туризма» будет способствовать привлечению инвестиций, развитию туризма и связанной с ним деятельности. На 29 июня 2026 года общая площадь земель, пригодных для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туристической деятельности и уже доступных на указанной онлайн-платформе,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составила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более 1,8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гектара: 6 территорий и 1 земельный участок, - отмечает Оксана Крылова, руководитель Управления Росреестра по Забайкальскому краю.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  <w:u w:val="singl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  <w:u w:val="singl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  <w:u w:val="single"/>
        </w:rPr>
        <w:t xml:space="preserve">Как воспользоваться сервисом?</w:t>
      </w:r>
      <w:r>
        <w:rPr>
          <w:rFonts w:ascii="Liberation Serif" w:hAnsi="Liberation Serif" w:cs="Liberation Serif"/>
          <w:sz w:val="28"/>
          <w:szCs w:val="28"/>
          <w:highlight w:val="none"/>
          <w:u w:val="single"/>
        </w:rPr>
      </w:r>
      <w:r>
        <w:rPr>
          <w:rFonts w:ascii="Liberation Serif" w:hAnsi="Liberation Serif" w:cs="Liberation Serif"/>
          <w:sz w:val="28"/>
          <w:szCs w:val="28"/>
          <w:highlight w:val="none"/>
          <w:u w:val="singl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Для перехода к сервису «Земля для туризма» необходимо выполнить следующие действи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я:</w:t>
      </w:r>
      <w:r>
        <w:rPr>
          <w:rFonts w:ascii="Liberation Serif" w:hAnsi="Liberation Serif" w:cs="Liberation Serif"/>
          <w:sz w:val="28"/>
          <w:szCs w:val="28"/>
          <w:highlight w:val="non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none"/>
          <w14:ligatures w14:val="none"/>
        </w:rPr>
      </w:r>
    </w:p>
    <w:p>
      <w:pPr>
        <w:numPr>
          <w:ilvl w:val="0"/>
          <w:numId w:val="5"/>
        </w:numPr>
        <w:contextualSpacing/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4"/>
          <w:szCs w:val="20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авторизоваться на портале под учетной записью Заявителя (физическое лицо, юридическое лицо, индивидуальный предприниматель);</w:t>
      </w:r>
      <w:r>
        <w:rPr>
          <w:rFonts w:ascii="Liberation Serif" w:hAnsi="Liberation Serif" w:cs="Liberation Serif"/>
          <w:sz w:val="24"/>
          <w:szCs w:val="20"/>
          <w14:ligatures w14:val="none"/>
        </w:rPr>
      </w:r>
      <w:r>
        <w:rPr>
          <w:rFonts w:ascii="Liberation Serif" w:hAnsi="Liberation Serif" w:cs="Liberation Serif"/>
          <w:sz w:val="24"/>
          <w:szCs w:val="20"/>
          <w14:ligatures w14:val="none"/>
        </w:rPr>
      </w:r>
    </w:p>
    <w:p>
      <w:pPr>
        <w:numPr>
          <w:ilvl w:val="0"/>
          <w:numId w:val="5"/>
        </w:numPr>
        <w:contextualSpacing/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4"/>
          <w:szCs w:val="20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раскрыть меню, путем нажатия на кнопку 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16563" cy="137119"/>
                <wp:effectExtent l="0" t="0" r="0" b="0"/>
                <wp:docPr id="2" name="_x0000_i109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1755356" name=""/>
                        <pic:cNvPicPr/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216561" cy="1371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7.05pt;height:10.80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, расположенную в левом углу;</w:t>
      </w:r>
      <w:r>
        <w:rPr>
          <w:rFonts w:ascii="Liberation Serif" w:hAnsi="Liberation Serif" w:cs="Liberation Serif"/>
          <w:sz w:val="24"/>
          <w:szCs w:val="20"/>
          <w14:ligatures w14:val="none"/>
        </w:rPr>
      </w:r>
      <w:r>
        <w:rPr>
          <w:rFonts w:ascii="Liberation Serif" w:hAnsi="Liberation Serif" w:cs="Liberation Serif"/>
          <w:sz w:val="24"/>
          <w:szCs w:val="20"/>
          <w14:ligatures w14:val="none"/>
        </w:rPr>
      </w:r>
    </w:p>
    <w:p>
      <w:pPr>
        <w:numPr>
          <w:ilvl w:val="0"/>
          <w:numId w:val="5"/>
        </w:numPr>
        <w:contextualSpacing/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выбрать элемент раскрывающегося списка «Сервисы»;</w:t>
      </w:r>
      <w:r>
        <w:rPr>
          <w:rFonts w:ascii="Liberation Serif" w:hAnsi="Liberation Serif" w:cs="Liberation Serif"/>
          <w:sz w:val="28"/>
          <w:szCs w:val="28"/>
          <w14:ligatures w14:val="none"/>
        </w:rPr>
      </w:r>
      <w:r>
        <w:rPr>
          <w:rFonts w:ascii="Liberation Serif" w:hAnsi="Liberation Serif" w:cs="Liberation Serif"/>
          <w:sz w:val="28"/>
          <w:szCs w:val="28"/>
          <w14:ligatures w14:val="none"/>
        </w:rPr>
      </w:r>
    </w:p>
    <w:p>
      <w:pPr>
        <w:numPr>
          <w:ilvl w:val="0"/>
          <w:numId w:val="5"/>
        </w:numPr>
        <w:contextualSpacing/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4"/>
          <w:szCs w:val="24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перейти по кнопке «Найти свободный участок для туризма на карте» на главной странице сервиса «Земля для туризма».</w:t>
      </w:r>
      <w:r>
        <w:rPr>
          <w:rFonts w:ascii="Liberation Serif" w:hAnsi="Liberation Serif" w:cs="Liberation Serif"/>
          <w:sz w:val="24"/>
          <w:szCs w:val="24"/>
          <w14:ligatures w14:val="none"/>
        </w:rPr>
      </w:r>
      <w:r>
        <w:rPr>
          <w:rFonts w:ascii="Liberation Serif" w:hAnsi="Liberation Serif" w:cs="Liberation Serif"/>
          <w:sz w:val="24"/>
          <w:szCs w:val="24"/>
          <w14:ligatures w14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  <w:lang w:eastAsia="ru-RU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В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 результате будет осуществлен переход на карту с подсвеченными участками для туризма. Используйте колесико мыши для приближения к интересующему участку на карте. Выберите участок на карте, используя инструмент «Выбрать объект на карте» в боковой панели. Дл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я уточнения параметров поиска земельного участка укажите адрес или требуемые параметры фильтрации в расширенном наборе фильтров.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  <w:lang w:eastAsia="ru-RU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Н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айдите подходящий свободный земельный участок для туризма на карте и нажмите на кнопку «Получить услугу». В результате будет осуществлён переход в сервис «Земля просто» для выбора услуги по предоставлению земельного участка и формирования комплекта докумен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тов на сайте Госуслуг.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62" w:line="276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#Росреестр #РосреестрЧита #РосреестрЗабайкальскийКрай #ЗабайкальскийРосреестр #Росреестр75 #Госуслуги #НСПД #ЗемляДляТуризма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2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Пресс-центр Управления Росреестра по Забайкальскому краю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72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Контактное лицо: </w:t>
    </w:r>
    <w:r>
      <w:rPr>
        <w:rFonts w:ascii="Segoe UI" w:hAnsi="Segoe UI" w:cs="Segoe UI"/>
        <w:color w:val="0070b9"/>
        <w:sz w:val="16"/>
        <w:szCs w:val="16"/>
      </w:rPr>
      <w:t xml:space="preserve">Жамбалнимбуев Баир Батомункуевич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72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Тел.: (3022) 3</w:t>
    </w:r>
    <w:r>
      <w:rPr>
        <w:rFonts w:ascii="Segoe UI" w:hAnsi="Segoe UI" w:cs="Segoe UI"/>
        <w:color w:val="0070b9"/>
        <w:sz w:val="16"/>
        <w:szCs w:val="16"/>
      </w:rPr>
      <w:t xml:space="preserve">5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74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28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72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</w:rPr>
      <w:t xml:space="preserve">Моб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.: +7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924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384-06-61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72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  <w:lang w:val="en-US"/>
      </w:rPr>
      <w:t xml:space="preserve">E-mail: </w:t>
    </w:r>
    <w:hyperlink r:id="rId1" w:tooltip="mailto:Jambalnimbuevbb@r75.rosreestr.ru" w:history="1">
      <w:r>
        <w:rPr>
          <w:rStyle w:val="963"/>
          <w:rFonts w:ascii="Segoe UI" w:hAnsi="Segoe UI" w:cs="Segoe UI"/>
          <w:sz w:val="16"/>
          <w:szCs w:val="16"/>
          <w:lang w:val="en-US"/>
        </w:rPr>
        <w:t xml:space="preserve">Jambalnimbuevbb@r75.rosreestr.ru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, </w:t>
    </w:r>
    <w:hyperlink r:id="rId2" w:tooltip="mailto:Arbalet1977@yandex.ru" w:history="1">
      <w:r>
        <w:rPr>
          <w:rStyle w:val="963"/>
          <w:rFonts w:ascii="Segoe UI" w:hAnsi="Segoe UI" w:cs="Segoe UI"/>
          <w:sz w:val="16"/>
          <w:szCs w:val="16"/>
          <w:lang w:val="en-US"/>
        </w:rPr>
        <w:t xml:space="preserve">Arbalet1977@yandex.ru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 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72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72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81">
    <w:name w:val="Heading 1 Char"/>
    <w:basedOn w:val="955"/>
    <w:link w:val="954"/>
    <w:uiPriority w:val="9"/>
    <w:rPr>
      <w:rFonts w:ascii="Arial" w:hAnsi="Arial" w:eastAsia="Arial" w:cs="Arial"/>
      <w:sz w:val="40"/>
      <w:szCs w:val="40"/>
    </w:rPr>
  </w:style>
  <w:style w:type="paragraph" w:styleId="782">
    <w:name w:val="Heading 2"/>
    <w:basedOn w:val="953"/>
    <w:next w:val="953"/>
    <w:link w:val="7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83">
    <w:name w:val="Heading 2 Char"/>
    <w:basedOn w:val="955"/>
    <w:link w:val="782"/>
    <w:uiPriority w:val="9"/>
    <w:rPr>
      <w:rFonts w:ascii="Arial" w:hAnsi="Arial" w:eastAsia="Arial" w:cs="Arial"/>
      <w:sz w:val="34"/>
    </w:rPr>
  </w:style>
  <w:style w:type="paragraph" w:styleId="784">
    <w:name w:val="Heading 3"/>
    <w:basedOn w:val="953"/>
    <w:next w:val="953"/>
    <w:link w:val="7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85">
    <w:name w:val="Heading 3 Char"/>
    <w:basedOn w:val="955"/>
    <w:link w:val="784"/>
    <w:uiPriority w:val="9"/>
    <w:rPr>
      <w:rFonts w:ascii="Arial" w:hAnsi="Arial" w:eastAsia="Arial" w:cs="Arial"/>
      <w:sz w:val="30"/>
      <w:szCs w:val="30"/>
    </w:rPr>
  </w:style>
  <w:style w:type="paragraph" w:styleId="786">
    <w:name w:val="Heading 4"/>
    <w:basedOn w:val="953"/>
    <w:next w:val="953"/>
    <w:link w:val="7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7">
    <w:name w:val="Heading 4 Char"/>
    <w:basedOn w:val="955"/>
    <w:link w:val="786"/>
    <w:uiPriority w:val="9"/>
    <w:rPr>
      <w:rFonts w:ascii="Arial" w:hAnsi="Arial" w:eastAsia="Arial" w:cs="Arial"/>
      <w:b/>
      <w:bCs/>
      <w:sz w:val="26"/>
      <w:szCs w:val="26"/>
    </w:rPr>
  </w:style>
  <w:style w:type="paragraph" w:styleId="788">
    <w:name w:val="Heading 5"/>
    <w:basedOn w:val="953"/>
    <w:next w:val="953"/>
    <w:link w:val="7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9">
    <w:name w:val="Heading 5 Char"/>
    <w:basedOn w:val="955"/>
    <w:link w:val="788"/>
    <w:uiPriority w:val="9"/>
    <w:rPr>
      <w:rFonts w:ascii="Arial" w:hAnsi="Arial" w:eastAsia="Arial" w:cs="Arial"/>
      <w:b/>
      <w:bCs/>
      <w:sz w:val="24"/>
      <w:szCs w:val="24"/>
    </w:rPr>
  </w:style>
  <w:style w:type="paragraph" w:styleId="790">
    <w:name w:val="Heading 6"/>
    <w:basedOn w:val="953"/>
    <w:next w:val="953"/>
    <w:link w:val="7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91">
    <w:name w:val="Heading 6 Char"/>
    <w:basedOn w:val="955"/>
    <w:link w:val="790"/>
    <w:uiPriority w:val="9"/>
    <w:rPr>
      <w:rFonts w:ascii="Arial" w:hAnsi="Arial" w:eastAsia="Arial" w:cs="Arial"/>
      <w:b/>
      <w:bCs/>
      <w:sz w:val="22"/>
      <w:szCs w:val="22"/>
    </w:rPr>
  </w:style>
  <w:style w:type="paragraph" w:styleId="792">
    <w:name w:val="Heading 7"/>
    <w:basedOn w:val="953"/>
    <w:next w:val="953"/>
    <w:link w:val="7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93">
    <w:name w:val="Heading 7 Char"/>
    <w:basedOn w:val="955"/>
    <w:link w:val="7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4">
    <w:name w:val="Heading 8"/>
    <w:basedOn w:val="953"/>
    <w:next w:val="953"/>
    <w:link w:val="7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5">
    <w:name w:val="Heading 8 Char"/>
    <w:basedOn w:val="955"/>
    <w:link w:val="794"/>
    <w:uiPriority w:val="9"/>
    <w:rPr>
      <w:rFonts w:ascii="Arial" w:hAnsi="Arial" w:eastAsia="Arial" w:cs="Arial"/>
      <w:i/>
      <w:iCs/>
      <w:sz w:val="22"/>
      <w:szCs w:val="22"/>
    </w:rPr>
  </w:style>
  <w:style w:type="paragraph" w:styleId="796">
    <w:name w:val="Heading 9"/>
    <w:basedOn w:val="953"/>
    <w:next w:val="953"/>
    <w:link w:val="7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7">
    <w:name w:val="Heading 9 Char"/>
    <w:basedOn w:val="955"/>
    <w:link w:val="796"/>
    <w:uiPriority w:val="9"/>
    <w:rPr>
      <w:rFonts w:ascii="Arial" w:hAnsi="Arial" w:eastAsia="Arial" w:cs="Arial"/>
      <w:i/>
      <w:iCs/>
      <w:sz w:val="21"/>
      <w:szCs w:val="21"/>
    </w:rPr>
  </w:style>
  <w:style w:type="paragraph" w:styleId="798">
    <w:name w:val="Title"/>
    <w:basedOn w:val="953"/>
    <w:next w:val="953"/>
    <w:link w:val="7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9">
    <w:name w:val="Title Char"/>
    <w:basedOn w:val="955"/>
    <w:link w:val="798"/>
    <w:uiPriority w:val="10"/>
    <w:rPr>
      <w:sz w:val="48"/>
      <w:szCs w:val="48"/>
    </w:rPr>
  </w:style>
  <w:style w:type="paragraph" w:styleId="800">
    <w:name w:val="Subtitle"/>
    <w:basedOn w:val="953"/>
    <w:next w:val="953"/>
    <w:link w:val="801"/>
    <w:uiPriority w:val="11"/>
    <w:qFormat/>
    <w:pPr>
      <w:spacing w:before="200" w:after="200"/>
    </w:pPr>
    <w:rPr>
      <w:sz w:val="24"/>
      <w:szCs w:val="24"/>
    </w:rPr>
  </w:style>
  <w:style w:type="character" w:styleId="801">
    <w:name w:val="Subtitle Char"/>
    <w:basedOn w:val="955"/>
    <w:link w:val="800"/>
    <w:uiPriority w:val="11"/>
    <w:rPr>
      <w:sz w:val="24"/>
      <w:szCs w:val="24"/>
    </w:rPr>
  </w:style>
  <w:style w:type="paragraph" w:styleId="802">
    <w:name w:val="Quote"/>
    <w:basedOn w:val="953"/>
    <w:next w:val="953"/>
    <w:link w:val="803"/>
    <w:uiPriority w:val="29"/>
    <w:qFormat/>
    <w:pPr>
      <w:ind w:left="720" w:right="720"/>
    </w:pPr>
    <w:rPr>
      <w:i/>
    </w:rPr>
  </w:style>
  <w:style w:type="character" w:styleId="803">
    <w:name w:val="Quote Char"/>
    <w:link w:val="802"/>
    <w:uiPriority w:val="29"/>
    <w:rPr>
      <w:i/>
    </w:rPr>
  </w:style>
  <w:style w:type="paragraph" w:styleId="804">
    <w:name w:val="Intense Quote"/>
    <w:basedOn w:val="953"/>
    <w:next w:val="953"/>
    <w:link w:val="8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5">
    <w:name w:val="Intense Quote Char"/>
    <w:link w:val="804"/>
    <w:uiPriority w:val="30"/>
    <w:rPr>
      <w:i/>
    </w:rPr>
  </w:style>
  <w:style w:type="character" w:styleId="806">
    <w:name w:val="Header Char"/>
    <w:basedOn w:val="955"/>
    <w:link w:val="970"/>
    <w:uiPriority w:val="99"/>
  </w:style>
  <w:style w:type="character" w:styleId="807">
    <w:name w:val="Footer Char"/>
    <w:basedOn w:val="955"/>
    <w:link w:val="972"/>
    <w:uiPriority w:val="99"/>
  </w:style>
  <w:style w:type="paragraph" w:styleId="808">
    <w:name w:val="Caption"/>
    <w:basedOn w:val="953"/>
    <w:next w:val="9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9">
    <w:name w:val="Caption Char"/>
    <w:basedOn w:val="808"/>
    <w:link w:val="972"/>
    <w:uiPriority w:val="99"/>
  </w:style>
  <w:style w:type="table" w:styleId="810">
    <w:name w:val="Table Grid"/>
    <w:basedOn w:val="9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1">
    <w:name w:val="Table Grid Light"/>
    <w:basedOn w:val="9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2">
    <w:name w:val="Plain Table 1"/>
    <w:basedOn w:val="9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3">
    <w:name w:val="Plain Table 2"/>
    <w:basedOn w:val="9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4">
    <w:name w:val="Plain Table 3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5">
    <w:name w:val="Plain Table 4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Plain Table 5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7">
    <w:name w:val="Grid Table 1 Light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1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2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1 Light - Accent 3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Grid Table 1 Light - Accent 4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Grid Table 1 Light - Accent 5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Grid Table 1 Light - Accent 6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Grid Table 2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1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2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2 - Accent 3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2 - Accent 4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2 - Accent 5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2 - Accent 6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1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2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3 - Accent 3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3 - Accent 4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3 - Accent 5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 - Accent 6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4"/>
    <w:basedOn w:val="9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9">
    <w:name w:val="Grid Table 4 - Accent 1"/>
    <w:basedOn w:val="9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40">
    <w:name w:val="Grid Table 4 - Accent 2"/>
    <w:basedOn w:val="9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41">
    <w:name w:val="Grid Table 4 - Accent 3"/>
    <w:basedOn w:val="9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42">
    <w:name w:val="Grid Table 4 - Accent 4"/>
    <w:basedOn w:val="9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43">
    <w:name w:val="Grid Table 4 - Accent 5"/>
    <w:basedOn w:val="9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4">
    <w:name w:val="Grid Table 4 - Accent 6"/>
    <w:basedOn w:val="9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5">
    <w:name w:val="Grid Table 5 Dark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6">
    <w:name w:val="Grid Table 5 Dark- Accent 1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2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8">
    <w:name w:val="Grid Table 5 Dark - Accent 3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49">
    <w:name w:val="Grid Table 5 Dark- Accent 4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50">
    <w:name w:val="Grid Table 5 Dark - Accent 5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51">
    <w:name w:val="Grid Table 5 Dark - Accent 6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52">
    <w:name w:val="Grid Table 6 Colorful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53">
    <w:name w:val="Grid Table 6 Colorful - Accent 1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4">
    <w:name w:val="Grid Table 6 Colorful - Accent 2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5">
    <w:name w:val="Grid Table 6 Colorful - Accent 3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6">
    <w:name w:val="Grid Table 6 Colorful - Accent 4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7">
    <w:name w:val="Grid Table 6 Colorful - Accent 5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8">
    <w:name w:val="Grid Table 6 Colorful - Accent 6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9">
    <w:name w:val="Grid Table 7 Colorful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1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2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7 Colorful - Accent 3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7 Colorful - Accent 4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7 Colorful - Accent 5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7 Colorful - Accent 6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1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2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1 Light - Accent 3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List Table 1 Light - Accent 4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1 Light - Accent 5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 - Accent 6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2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4">
    <w:name w:val="List Table 2 - Accent 1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5">
    <w:name w:val="List Table 2 - Accent 2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6">
    <w:name w:val="List Table 2 - Accent 3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7">
    <w:name w:val="List Table 2 - Accent 4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8">
    <w:name w:val="List Table 2 - Accent 5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9">
    <w:name w:val="List Table 2 - Accent 6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80">
    <w:name w:val="List Table 3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1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2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3 - Accent 3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3 - Accent 4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3 - Accent 5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3 - Accent 6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1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2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4 - Accent 3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4 - Accent 4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4 - Accent 5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 - Accent 6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5 Dark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1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2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5 Dark - Accent 3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8">
    <w:name w:val="List Table 5 Dark - Accent 4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9">
    <w:name w:val="List Table 5 Dark - Accent 5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0">
    <w:name w:val="List Table 5 Dark - Accent 6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1">
    <w:name w:val="List Table 6 Colorful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02">
    <w:name w:val="List Table 6 Colorful - Accent 1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3">
    <w:name w:val="List Table 6 Colorful - Accent 2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4">
    <w:name w:val="List Table 6 Colorful - Accent 3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5">
    <w:name w:val="List Table 6 Colorful - Accent 4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6">
    <w:name w:val="List Table 6 Colorful - Accent 5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7">
    <w:name w:val="List Table 6 Colorful - Accent 6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8">
    <w:name w:val="List Table 7 Colorful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9">
    <w:name w:val="List Table 7 Colorful - Accent 1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10">
    <w:name w:val="List Table 7 Colorful - Accent 2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11">
    <w:name w:val="List Table 7 Colorful - Accent 3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12">
    <w:name w:val="List Table 7 Colorful - Accent 4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13">
    <w:name w:val="List Table 7 Colorful - Accent 5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14">
    <w:name w:val="List Table 7 Colorful - Accent 6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15">
    <w:name w:val="Lined - Accent"/>
    <w:basedOn w:val="9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6">
    <w:name w:val="Lined - Accent 1"/>
    <w:basedOn w:val="9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7">
    <w:name w:val="Lined - Accent 2"/>
    <w:basedOn w:val="9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8">
    <w:name w:val="Lined - Accent 3"/>
    <w:basedOn w:val="9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9">
    <w:name w:val="Lined - Accent 4"/>
    <w:basedOn w:val="9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0">
    <w:name w:val="Lined - Accent 5"/>
    <w:basedOn w:val="9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1">
    <w:name w:val="Lined - Accent 6"/>
    <w:basedOn w:val="9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2">
    <w:name w:val="Bordered &amp; Lined - Accent"/>
    <w:basedOn w:val="9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3">
    <w:name w:val="Bordered &amp; Lined - Accent 1"/>
    <w:basedOn w:val="9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4">
    <w:name w:val="Bordered &amp; Lined - Accent 2"/>
    <w:basedOn w:val="9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5">
    <w:name w:val="Bordered &amp; Lined - Accent 3"/>
    <w:basedOn w:val="9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6">
    <w:name w:val="Bordered &amp; Lined - Accent 4"/>
    <w:basedOn w:val="9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7">
    <w:name w:val="Bordered &amp; Lined - Accent 5"/>
    <w:basedOn w:val="9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8">
    <w:name w:val="Bordered &amp; Lined - Accent 6"/>
    <w:basedOn w:val="9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9">
    <w:name w:val="Bordered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30">
    <w:name w:val="Bordered - Accent 1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1">
    <w:name w:val="Bordered - Accent 2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32">
    <w:name w:val="Bordered - Accent 3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33">
    <w:name w:val="Bordered - Accent 4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4">
    <w:name w:val="Bordered - Accent 5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5">
    <w:name w:val="Bordered - Accent 6"/>
    <w:basedOn w:val="9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6">
    <w:name w:val="footnote text"/>
    <w:basedOn w:val="953"/>
    <w:link w:val="937"/>
    <w:uiPriority w:val="99"/>
    <w:semiHidden/>
    <w:unhideWhenUsed/>
    <w:pPr>
      <w:spacing w:after="40" w:line="240" w:lineRule="auto"/>
    </w:pPr>
    <w:rPr>
      <w:sz w:val="18"/>
    </w:rPr>
  </w:style>
  <w:style w:type="character" w:styleId="937">
    <w:name w:val="Footnote Text Char"/>
    <w:link w:val="936"/>
    <w:uiPriority w:val="99"/>
    <w:rPr>
      <w:sz w:val="18"/>
    </w:rPr>
  </w:style>
  <w:style w:type="character" w:styleId="938">
    <w:name w:val="footnote reference"/>
    <w:basedOn w:val="955"/>
    <w:uiPriority w:val="99"/>
    <w:unhideWhenUsed/>
    <w:rPr>
      <w:vertAlign w:val="superscript"/>
    </w:rPr>
  </w:style>
  <w:style w:type="paragraph" w:styleId="939">
    <w:name w:val="endnote text"/>
    <w:basedOn w:val="953"/>
    <w:link w:val="940"/>
    <w:uiPriority w:val="99"/>
    <w:semiHidden/>
    <w:unhideWhenUsed/>
    <w:pPr>
      <w:spacing w:after="0" w:line="240" w:lineRule="auto"/>
    </w:pPr>
    <w:rPr>
      <w:sz w:val="20"/>
    </w:rPr>
  </w:style>
  <w:style w:type="character" w:styleId="940">
    <w:name w:val="Endnote Text Char"/>
    <w:link w:val="939"/>
    <w:uiPriority w:val="99"/>
    <w:rPr>
      <w:sz w:val="20"/>
    </w:rPr>
  </w:style>
  <w:style w:type="character" w:styleId="941">
    <w:name w:val="endnote reference"/>
    <w:basedOn w:val="955"/>
    <w:uiPriority w:val="99"/>
    <w:semiHidden/>
    <w:unhideWhenUsed/>
    <w:rPr>
      <w:vertAlign w:val="superscript"/>
    </w:rPr>
  </w:style>
  <w:style w:type="paragraph" w:styleId="942">
    <w:name w:val="toc 1"/>
    <w:basedOn w:val="953"/>
    <w:next w:val="953"/>
    <w:uiPriority w:val="39"/>
    <w:unhideWhenUsed/>
    <w:pPr>
      <w:ind w:left="0" w:right="0" w:firstLine="0"/>
      <w:spacing w:after="57"/>
    </w:pPr>
  </w:style>
  <w:style w:type="paragraph" w:styleId="943">
    <w:name w:val="toc 2"/>
    <w:basedOn w:val="953"/>
    <w:next w:val="953"/>
    <w:uiPriority w:val="39"/>
    <w:unhideWhenUsed/>
    <w:pPr>
      <w:ind w:left="283" w:right="0" w:firstLine="0"/>
      <w:spacing w:after="57"/>
    </w:pPr>
  </w:style>
  <w:style w:type="paragraph" w:styleId="944">
    <w:name w:val="toc 3"/>
    <w:basedOn w:val="953"/>
    <w:next w:val="953"/>
    <w:uiPriority w:val="39"/>
    <w:unhideWhenUsed/>
    <w:pPr>
      <w:ind w:left="567" w:right="0" w:firstLine="0"/>
      <w:spacing w:after="57"/>
    </w:pPr>
  </w:style>
  <w:style w:type="paragraph" w:styleId="945">
    <w:name w:val="toc 4"/>
    <w:basedOn w:val="953"/>
    <w:next w:val="953"/>
    <w:uiPriority w:val="39"/>
    <w:unhideWhenUsed/>
    <w:pPr>
      <w:ind w:left="850" w:right="0" w:firstLine="0"/>
      <w:spacing w:after="57"/>
    </w:pPr>
  </w:style>
  <w:style w:type="paragraph" w:styleId="946">
    <w:name w:val="toc 5"/>
    <w:basedOn w:val="953"/>
    <w:next w:val="953"/>
    <w:uiPriority w:val="39"/>
    <w:unhideWhenUsed/>
    <w:pPr>
      <w:ind w:left="1134" w:right="0" w:firstLine="0"/>
      <w:spacing w:after="57"/>
    </w:pPr>
  </w:style>
  <w:style w:type="paragraph" w:styleId="947">
    <w:name w:val="toc 6"/>
    <w:basedOn w:val="953"/>
    <w:next w:val="953"/>
    <w:uiPriority w:val="39"/>
    <w:unhideWhenUsed/>
    <w:pPr>
      <w:ind w:left="1417" w:right="0" w:firstLine="0"/>
      <w:spacing w:after="57"/>
    </w:pPr>
  </w:style>
  <w:style w:type="paragraph" w:styleId="948">
    <w:name w:val="toc 7"/>
    <w:basedOn w:val="953"/>
    <w:next w:val="953"/>
    <w:uiPriority w:val="39"/>
    <w:unhideWhenUsed/>
    <w:pPr>
      <w:ind w:left="1701" w:right="0" w:firstLine="0"/>
      <w:spacing w:after="57"/>
    </w:pPr>
  </w:style>
  <w:style w:type="paragraph" w:styleId="949">
    <w:name w:val="toc 8"/>
    <w:basedOn w:val="953"/>
    <w:next w:val="953"/>
    <w:uiPriority w:val="39"/>
    <w:unhideWhenUsed/>
    <w:pPr>
      <w:ind w:left="1984" w:right="0" w:firstLine="0"/>
      <w:spacing w:after="57"/>
    </w:pPr>
  </w:style>
  <w:style w:type="paragraph" w:styleId="950">
    <w:name w:val="toc 9"/>
    <w:basedOn w:val="953"/>
    <w:next w:val="953"/>
    <w:uiPriority w:val="39"/>
    <w:unhideWhenUsed/>
    <w:pPr>
      <w:ind w:left="2268" w:right="0" w:firstLine="0"/>
      <w:spacing w:after="57"/>
    </w:pPr>
  </w:style>
  <w:style w:type="paragraph" w:styleId="951">
    <w:name w:val="TOC Heading"/>
    <w:uiPriority w:val="39"/>
    <w:unhideWhenUsed/>
  </w:style>
  <w:style w:type="paragraph" w:styleId="952">
    <w:name w:val="table of figures"/>
    <w:basedOn w:val="953"/>
    <w:next w:val="953"/>
    <w:uiPriority w:val="99"/>
    <w:unhideWhenUsed/>
    <w:pPr>
      <w:spacing w:after="0" w:afterAutospacing="0"/>
    </w:pPr>
  </w:style>
  <w:style w:type="paragraph" w:styleId="953" w:default="1">
    <w:name w:val="Normal"/>
    <w:qFormat/>
    <w:pPr>
      <w:spacing w:after="200" w:line="276" w:lineRule="auto"/>
    </w:pPr>
  </w:style>
  <w:style w:type="paragraph" w:styleId="954">
    <w:name w:val="Heading 1"/>
    <w:basedOn w:val="953"/>
    <w:next w:val="953"/>
    <w:link w:val="961"/>
    <w:uiPriority w:val="9"/>
    <w:qFormat/>
    <w:pPr>
      <w:keepLines/>
      <w:keepNext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55" w:default="1">
    <w:name w:val="Default Paragraph Font"/>
    <w:uiPriority w:val="1"/>
    <w:semiHidden/>
    <w:unhideWhenUsed/>
  </w:style>
  <w:style w:type="table" w:styleId="9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7" w:default="1">
    <w:name w:val="No List"/>
    <w:uiPriority w:val="99"/>
    <w:semiHidden/>
    <w:unhideWhenUsed/>
  </w:style>
  <w:style w:type="paragraph" w:styleId="958">
    <w:name w:val="Balloon Text"/>
    <w:basedOn w:val="953"/>
    <w:link w:val="95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59" w:customStyle="1">
    <w:name w:val="Текст выноски Знак"/>
    <w:basedOn w:val="955"/>
    <w:link w:val="958"/>
    <w:uiPriority w:val="99"/>
    <w:semiHidden/>
    <w:rPr>
      <w:rFonts w:ascii="Segoe UI" w:hAnsi="Segoe UI" w:cs="Segoe UI"/>
      <w:sz w:val="18"/>
      <w:szCs w:val="18"/>
    </w:rPr>
  </w:style>
  <w:style w:type="paragraph" w:styleId="960">
    <w:name w:val="No Spacing"/>
    <w:uiPriority w:val="1"/>
    <w:qFormat/>
    <w:pPr>
      <w:spacing w:after="0" w:line="240" w:lineRule="auto"/>
    </w:pPr>
  </w:style>
  <w:style w:type="character" w:styleId="961" w:customStyle="1">
    <w:name w:val="Заголовок 1 Знак"/>
    <w:basedOn w:val="955"/>
    <w:link w:val="954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62">
    <w:name w:val="List Paragraph"/>
    <w:basedOn w:val="953"/>
    <w:uiPriority w:val="34"/>
    <w:qFormat/>
    <w:pPr>
      <w:contextualSpacing/>
      <w:ind w:left="720"/>
      <w:spacing w:after="160" w:line="256" w:lineRule="auto"/>
    </w:pPr>
  </w:style>
  <w:style w:type="character" w:styleId="963">
    <w:name w:val="Hyperlink"/>
    <w:basedOn w:val="955"/>
    <w:uiPriority w:val="99"/>
    <w:unhideWhenUsed/>
    <w:rPr>
      <w:color w:val="0563c1" w:themeColor="hyperlink"/>
      <w:u w:val="single"/>
    </w:rPr>
  </w:style>
  <w:style w:type="character" w:styleId="964">
    <w:name w:val="annotation reference"/>
    <w:basedOn w:val="955"/>
    <w:uiPriority w:val="99"/>
    <w:semiHidden/>
    <w:unhideWhenUsed/>
    <w:rPr>
      <w:sz w:val="16"/>
      <w:szCs w:val="16"/>
    </w:rPr>
  </w:style>
  <w:style w:type="paragraph" w:styleId="965">
    <w:name w:val="annotation text"/>
    <w:basedOn w:val="953"/>
    <w:link w:val="966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styleId="966" w:customStyle="1">
    <w:name w:val="Текст примечания Знак"/>
    <w:basedOn w:val="955"/>
    <w:link w:val="965"/>
    <w:uiPriority w:val="99"/>
    <w:semiHidden/>
    <w:rPr>
      <w:sz w:val="20"/>
      <w:szCs w:val="20"/>
    </w:rPr>
  </w:style>
  <w:style w:type="paragraph" w:styleId="967">
    <w:name w:val="annotation subject"/>
    <w:basedOn w:val="965"/>
    <w:next w:val="965"/>
    <w:link w:val="968"/>
    <w:uiPriority w:val="99"/>
    <w:semiHidden/>
    <w:unhideWhenUsed/>
    <w:rPr>
      <w:b/>
      <w:bCs/>
    </w:rPr>
  </w:style>
  <w:style w:type="character" w:styleId="968" w:customStyle="1">
    <w:name w:val="Тема примечания Знак"/>
    <w:basedOn w:val="966"/>
    <w:link w:val="967"/>
    <w:uiPriority w:val="99"/>
    <w:semiHidden/>
    <w:rPr>
      <w:b/>
      <w:bCs/>
      <w:sz w:val="20"/>
      <w:szCs w:val="20"/>
    </w:rPr>
  </w:style>
  <w:style w:type="character" w:styleId="969">
    <w:name w:val="Strong"/>
    <w:basedOn w:val="955"/>
    <w:uiPriority w:val="22"/>
    <w:qFormat/>
    <w:rPr>
      <w:b/>
      <w:bCs/>
    </w:rPr>
  </w:style>
  <w:style w:type="paragraph" w:styleId="970">
    <w:name w:val="Header"/>
    <w:basedOn w:val="953"/>
    <w:link w:val="97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71" w:customStyle="1">
    <w:name w:val="Верхний колонтитул Знак"/>
    <w:basedOn w:val="955"/>
    <w:link w:val="970"/>
    <w:uiPriority w:val="99"/>
  </w:style>
  <w:style w:type="paragraph" w:styleId="972">
    <w:name w:val="Footer"/>
    <w:basedOn w:val="953"/>
    <w:link w:val="97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73" w:customStyle="1">
    <w:name w:val="Нижний колонтитул Знак"/>
    <w:basedOn w:val="955"/>
    <w:link w:val="972"/>
    <w:uiPriority w:val="99"/>
  </w:style>
  <w:style w:type="paragraph" w:styleId="974" w:customStyle="1">
    <w:name w:val="Normal (Web)"/>
    <w:basedOn w:val="876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hyperlink" Target="https://nspd.gov.ru/tourism-nspd" TargetMode="External"/><Relationship Id="rId17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Jambalnimbuevbb@r75.rosreestr.ru" TargetMode="External"/><Relationship Id="rId2" Type="http://schemas.openxmlformats.org/officeDocument/2006/relationships/hyperlink" Target="mailto:Arbalet1977@yandex.ru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revision>16</cp:revision>
  <dcterms:created xsi:type="dcterms:W3CDTF">2022-05-27T10:42:00Z</dcterms:created>
  <dcterms:modified xsi:type="dcterms:W3CDTF">2026-06-29T06:12:09Z</dcterms:modified>
</cp:coreProperties>
</file>