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Росреестр разъясняет: Как снять с учета несуществующий объект недвижимости?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Объект недвижимости, который был снесён, сгорел или не существует по другим причинам, подлежит снятию с государственного кадастрового учёта.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Право на объект недвижимости, к примеру на дом, не может существовать в отсутствии самого дома. Если дома нет, но в ЕГРН есть запись о его существовании, то собственник будет обязан уплатить имущественный налог, в том числе, за несуществующий объект недвиж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имости.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Документы которые нужны для снятия объекта с кадастрового учёта: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Заявление о снятии с учёта объекта недвижимости. Его составляет сотрудник МФЦ при приёме документов, или уполномоченный сотрудник филиала ППК «Роскадастр» по Забайкальскому краю, если гражданин заказал «Сервис выездного облуживания»;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Правоустанавливающие документы. Они необходимы, если права на объект не были зарегистрированы в реестре недвижимости;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Акт обследования. Это документ, подтверждающий прекращение существования объекта недвижимости. Акт составляется кадастровым инженером. Перед заключением договора на выполнение работ Росреестр рекомендует проверить, числится ли заинтересовавший вас кадастро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вый инженер в реестре членов саморегулируемой организации. Реестр публикуется на официальном сайте СРО, а также в госреестре кадастровых инженеров на сайте Росреестра: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hyperlink r:id="rId16" w:tooltip="https://rosreestr.gov.ru/wps/portal/p/cc_ib_portal_services/cc_ib_sro_reestr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white"/>
          </w:rPr>
          <w:t xml:space="preserve">https://rosreestr.gov.ru/wps/portal/p/cc_ib_portal_services/cc_ib_sro_reestrs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white"/>
          </w:rPr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Судебное решение. Решение суда потребуется, если объект недвижимости снимается с государственного учёта в судебном порядке.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pStyle w:val="958"/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Если у объекта недвижимости было несколько собственников, заявление на прекращение права подают все правообладатели, – обращает внимание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7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#ЕГРН #Недвижимость #КадастровыйУчет</w:t>
      </w:r>
      <w:r>
        <w:rPr>
          <w:rFonts w:ascii="Tinos" w:hAnsi="Tinos" w:cs="Tinos"/>
          <w:sz w:val="28"/>
          <w:szCs w:val="28"/>
        </w:rPr>
        <w:t xml:space="preserve"> #РосреестрРазъясняет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rosreestr.gov.ru/wps/portal/p/cc_ib_portal_services/cc_ib_sro_reestrs" TargetMode="External"/><Relationship Id="rId17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2026-06-09T05:54:37Z</dcterms:modified>
</cp:coreProperties>
</file>