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7A" w:rsidRDefault="00F1577A" w:rsidP="00F1577A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  <w:r w:rsidRPr="00F1577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  <w:t>Налоговые стимулы для МСП</w:t>
      </w:r>
    </w:p>
    <w:p w:rsidR="00F1577A" w:rsidRPr="00F1577A" w:rsidRDefault="00F1577A" w:rsidP="00F1577A">
      <w:pPr>
        <w:shd w:val="clear" w:color="auto" w:fill="FFFFFF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eastAsia="ru-RU"/>
        </w:rPr>
      </w:pPr>
    </w:p>
    <w:p w:rsidR="004B4194" w:rsidRDefault="00F1577A" w:rsidP="00F1577A">
      <w:pPr>
        <w:ind w:firstLine="70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157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Экономические санкции, мировые финансовые кризисы и другие потрясения побуждают государство разрабатывать и внедрять новые меры финансовой поддержки малого и среднего предпринимательства (МСП), одного из основных двигателей национальной экономики. Какая-то часть мер касается упрощения бухгалтерского учета, другая – льготного кредитования и т. д. Наиболее полезные стимулы – </w:t>
      </w:r>
      <w:r w:rsidRPr="00F1577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налоговые льготы.</w:t>
      </w:r>
    </w:p>
    <w:p w:rsidR="00F1577A" w:rsidRPr="00347576" w:rsidRDefault="00F1577A" w:rsidP="00F1577A">
      <w:pPr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75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Масштабные программы содействия отечественному МСП государство запустило еще в 2022 году. Часть из них продолжает действовать в году нынешнем, а также определяет развитие МСП на ближайшее будущее.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Что касается налоговых стимулов, то в соответствии с </w:t>
      </w:r>
      <w:hyperlink r:id="rId5" w:tgtFrame="_blank" w:history="1">
        <w:r w:rsidRPr="00347576">
          <w:rPr>
            <w:rStyle w:val="a3"/>
            <w:color w:val="auto"/>
            <w:sz w:val="28"/>
            <w:szCs w:val="28"/>
          </w:rPr>
          <w:t>Федеральным законом</w:t>
        </w:r>
        <w:r w:rsidRPr="00347576">
          <w:rPr>
            <w:rStyle w:val="a3"/>
            <w:sz w:val="28"/>
            <w:szCs w:val="28"/>
          </w:rPr>
          <w:t xml:space="preserve"> </w:t>
        </w:r>
        <w:r w:rsidRPr="00347576">
          <w:rPr>
            <w:rStyle w:val="a3"/>
            <w:color w:val="auto"/>
            <w:sz w:val="28"/>
            <w:szCs w:val="28"/>
          </w:rPr>
          <w:t>от 26.03.2022 № 67</w:t>
        </w:r>
      </w:hyperlink>
      <w:r w:rsidRPr="00347576">
        <w:rPr>
          <w:color w:val="222222"/>
          <w:sz w:val="28"/>
          <w:szCs w:val="28"/>
        </w:rPr>
        <w:t> и иными нормативно-правовыми документами в Налоговый кодекс РФ были внесены определенные изменения — в частности, предусмотревшие для бизнеса особые условия налогообложения</w:t>
      </w:r>
      <w:r w:rsidRPr="00347576">
        <w:rPr>
          <w:color w:val="222222"/>
          <w:sz w:val="28"/>
          <w:szCs w:val="28"/>
        </w:rPr>
        <w:t>:</w:t>
      </w:r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anchor="header_46324_1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Налоговые льготы для IT-предприятий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anchor="header_46324_2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Послабления для предприятий, работающих в туристической индустрии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anchor="header_46324_3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Льготы по начислению НДС для предприятий общепита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 w:anchor="header_46324_4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Ускоренное возмещение НДС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0" w:anchor="header_46324_5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Пониженные ставки взносов по страхованию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anchor="header_46324_6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Отсрочка по налоговым обязательствам для мобилизованных бизнесменов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2" w:anchor="header_46324_7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Налоговые каникулы для ИП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3" w:anchor="header_46324_8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Пониженные пени за просрочку</w:t>
        </w:r>
      </w:hyperlink>
    </w:p>
    <w:p w:rsidR="00F1577A" w:rsidRPr="00347576" w:rsidRDefault="00F1577A" w:rsidP="00F1577A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4" w:anchor="header_46324_9" w:history="1">
        <w:r w:rsidRPr="00347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Освобождение от налога на имущество</w:t>
        </w:r>
      </w:hyperlink>
    </w:p>
    <w:p w:rsidR="00F1577A" w:rsidRPr="00E43FD4" w:rsidRDefault="00F1577A" w:rsidP="00E43FD4">
      <w:pPr>
        <w:shd w:val="clear" w:color="auto" w:fill="FFFFFF"/>
        <w:spacing w:before="1320" w:beforeAutospacing="1" w:after="360" w:line="348" w:lineRule="atLeast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E43FD4">
        <w:rPr>
          <w:rFonts w:ascii="Times New Roman" w:hAnsi="Times New Roman" w:cs="Times New Roman"/>
          <w:b/>
          <w:color w:val="222222"/>
          <w:sz w:val="28"/>
          <w:szCs w:val="28"/>
        </w:rPr>
        <w:t>Налоговые льготы для IT-предприятий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Информационные технологии — одно из наиболее важных стратегических направлений. Недаром компании, работающие в этой отрасли, могут претендовать сразу на несколько налоговых послаблений. Прежде всего это нулевая ставка по налогам на прибыль и уменьшенные страховые взносы, составившие 7,6%.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lastRenderedPageBreak/>
        <w:t>Кроме того, до 2025 года IT-предприятия освобождены от многих выездных ревизий. Но для получения большинства льгот компания должна принадлежать к реестру аккредитованных и иметь доход от трудовой деятельности по основному профилю более 70%.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Послабления для предприятий, работающих в туристической индустрии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Как действующие, так и вновь созданные ИП и ООО, оказывающие населению туристические услуги, могут не начислять НДС на эти услуги вплоть до 2027 года. Эта льгота распространяется на гостиницы, аквапарки, курортные и санаторные объекты, горнолыжные трассы, турбазы, многофункциональные туристско-развлекательные комплексы и входящие в их состав предприятия общепита.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Льготы по начислению НДС для предприятий общепита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От уплаты НДС освободили кафе, столовые, рестораны и другие аналогичные заведения, а также предприятия выездного обслуживания в сфере общепита. Чтобы воспользоваться льготой, компаниям нужно соответствовать определенному перечню условий:</w:t>
      </w:r>
    </w:p>
    <w:p w:rsidR="00F1577A" w:rsidRPr="00347576" w:rsidRDefault="00F1577A" w:rsidP="00F1577A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color w:val="222222"/>
          <w:sz w:val="28"/>
          <w:szCs w:val="28"/>
        </w:rPr>
      </w:pPr>
      <w:r w:rsidRPr="00347576">
        <w:rPr>
          <w:rFonts w:ascii="Times New Roman" w:hAnsi="Times New Roman" w:cs="Times New Roman"/>
          <w:color w:val="222222"/>
          <w:sz w:val="28"/>
          <w:szCs w:val="28"/>
        </w:rPr>
        <w:t>годовой объем доходов не выше 2 млрд руб.;</w:t>
      </w:r>
    </w:p>
    <w:p w:rsidR="00F1577A" w:rsidRPr="00347576" w:rsidRDefault="00F1577A" w:rsidP="00F1577A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rPr>
          <w:rFonts w:ascii="Times New Roman" w:hAnsi="Times New Roman" w:cs="Times New Roman"/>
          <w:color w:val="222222"/>
          <w:sz w:val="28"/>
          <w:szCs w:val="28"/>
        </w:rPr>
      </w:pPr>
      <w:r w:rsidRPr="00347576">
        <w:rPr>
          <w:rFonts w:ascii="Times New Roman" w:hAnsi="Times New Roman" w:cs="Times New Roman"/>
          <w:color w:val="222222"/>
          <w:sz w:val="28"/>
          <w:szCs w:val="28"/>
        </w:rPr>
        <w:t>доля доходов от профильной деятельности не ниже 70%;</w:t>
      </w:r>
    </w:p>
    <w:p w:rsidR="00CE7146" w:rsidRPr="00347576" w:rsidRDefault="00F1577A" w:rsidP="006720D1">
      <w:pPr>
        <w:numPr>
          <w:ilvl w:val="0"/>
          <w:numId w:val="3"/>
        </w:numPr>
        <w:shd w:val="clear" w:color="auto" w:fill="FFFFFF"/>
        <w:spacing w:before="1320" w:beforeAutospacing="1" w:after="360" w:line="348" w:lineRule="atLeast"/>
        <w:ind w:left="0" w:firstLine="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47576">
        <w:rPr>
          <w:rFonts w:ascii="Times New Roman" w:hAnsi="Times New Roman" w:cs="Times New Roman"/>
          <w:color w:val="222222"/>
          <w:sz w:val="28"/>
          <w:szCs w:val="28"/>
        </w:rPr>
        <w:t>начиная с 2024 года средняя ежемесячная сумма всех выплат сотрудникам должна быть не меньше размера средней заработной платы.</w:t>
      </w:r>
    </w:p>
    <w:p w:rsidR="00F1577A" w:rsidRPr="00347576" w:rsidRDefault="00F1577A" w:rsidP="006720D1">
      <w:pPr>
        <w:numPr>
          <w:ilvl w:val="0"/>
          <w:numId w:val="3"/>
        </w:numPr>
        <w:shd w:val="clear" w:color="auto" w:fill="FFFFFF"/>
        <w:spacing w:before="1320" w:beforeAutospacing="1" w:after="360" w:line="348" w:lineRule="atLeast"/>
        <w:ind w:left="0" w:firstLine="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47576">
        <w:rPr>
          <w:rFonts w:ascii="Times New Roman" w:hAnsi="Times New Roman" w:cs="Times New Roman"/>
          <w:b/>
          <w:color w:val="222222"/>
          <w:sz w:val="28"/>
          <w:szCs w:val="28"/>
        </w:rPr>
        <w:t>Ускоренное возмещение НДС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 xml:space="preserve">Все организации МСП, не находящиеся на стадии реорганизации или банкротства, могут вернуть НДС по ускоренной процедуре. </w:t>
      </w:r>
      <w:proofErr w:type="gramStart"/>
      <w:r w:rsidRPr="00347576">
        <w:rPr>
          <w:color w:val="222222"/>
          <w:sz w:val="28"/>
          <w:szCs w:val="28"/>
        </w:rPr>
        <w:t>Для этого контрагенту</w:t>
      </w:r>
      <w:proofErr w:type="gramEnd"/>
      <w:r w:rsidRPr="00347576">
        <w:rPr>
          <w:color w:val="222222"/>
          <w:sz w:val="28"/>
          <w:szCs w:val="28"/>
        </w:rPr>
        <w:t xml:space="preserve"> не понадобятся ни поручители, ни банковская гарантия — нужно лишь составить заявление на денежную сумму, не превышающую размер выплат по налогам и взносам за прошлогодний период. Заявка будет рассмотрена ФНС буквально за пять дней.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Пониженные ставки взносов по страхованию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Среди предприятий МСП по-прежнему действуют особые правила, предполагающие более выгодные условия по страховым взносам. Если выплаты работникам организации превышают МРОТ, то ставка будет снижена вдвое — до 15%.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Отсрочка по налоговым обязательствам для мобилизованных бизнесменов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lastRenderedPageBreak/>
        <w:t>У владельцев предприятий МСП, призванных на воинскую службу в рамках мобилизации, возникает резонный вопрос, что будет с бизнесом во время их отсутствия. В качестве послабления такие предприятия получают право временно прекратить налоговые отчисления и уплату взносов. Кроме того, они освобождены от проверок ФНС.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hyperlink r:id="rId15" w:history="1">
        <w:r w:rsidRPr="00347576">
          <w:rPr>
            <w:rStyle w:val="a3"/>
            <w:rFonts w:eastAsiaTheme="majorEastAsia"/>
            <w:color w:val="auto"/>
            <w:sz w:val="28"/>
            <w:szCs w:val="28"/>
            <w:u w:val="none"/>
          </w:rPr>
          <w:t>Отсрочки</w:t>
        </w:r>
      </w:hyperlink>
      <w:r w:rsidRPr="00347576">
        <w:rPr>
          <w:color w:val="222222"/>
          <w:sz w:val="28"/>
          <w:szCs w:val="28"/>
        </w:rPr>
        <w:t> действуют на весь срок службы мобилизованного и три месяца после ее окончания. Налоговую отчетность на протяжении данного периода предоставлять не нужно.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Налоговые каникулы для ИП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Инициатива по предоставлению </w:t>
      </w:r>
      <w:hyperlink r:id="rId16" w:history="1">
        <w:r w:rsidRPr="00347576">
          <w:rPr>
            <w:rStyle w:val="a3"/>
            <w:rFonts w:eastAsiaTheme="majorEastAsia"/>
            <w:color w:val="auto"/>
            <w:sz w:val="28"/>
            <w:szCs w:val="28"/>
            <w:u w:val="none"/>
          </w:rPr>
          <w:t>налоговых каникул для индивидуальных предпринимателей</w:t>
        </w:r>
      </w:hyperlink>
      <w:r w:rsidRPr="00347576">
        <w:rPr>
          <w:sz w:val="28"/>
          <w:szCs w:val="28"/>
        </w:rPr>
        <w:t> не нова. Она дей</w:t>
      </w:r>
      <w:r w:rsidRPr="00347576">
        <w:rPr>
          <w:color w:val="222222"/>
          <w:sz w:val="28"/>
          <w:szCs w:val="28"/>
        </w:rPr>
        <w:t>ствует для вновь зарегистрированных ИП с 2015 года.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Однако для того, чтобы стать участником программы, предусматривающей освобождение от выплат на протяжении двух налоговых периодов, необходимо соответствовать ряду условий: налогообложение по УСН или ПСН, деятельность в определенных направлениях — обычно научном, социальном, бытовом и производственном, в зависимости от региона. Кроме того, не меньше 70% своего дохода компания должна получать по основному профилю деятельности.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Пониженные пени за просрочку</w:t>
      </w:r>
    </w:p>
    <w:p w:rsidR="00CE7146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 xml:space="preserve">Для субъектов МСП временно отменен ранее функционирующий </w:t>
      </w:r>
      <w:proofErr w:type="spellStart"/>
      <w:r w:rsidRPr="00347576">
        <w:rPr>
          <w:color w:val="222222"/>
          <w:sz w:val="28"/>
          <w:szCs w:val="28"/>
        </w:rPr>
        <w:t>санкционный</w:t>
      </w:r>
      <w:proofErr w:type="spellEnd"/>
      <w:r w:rsidRPr="00347576">
        <w:rPr>
          <w:color w:val="222222"/>
          <w:sz w:val="28"/>
          <w:szCs w:val="28"/>
        </w:rPr>
        <w:t xml:space="preserve"> регламент, предполагающий выплату пени за 31 день просрочки по ставке 1/150. Вместо этого на протяжении всего текущего года сохраняется льготный размер штрафных санкций, составляющий 1/300 ставки.</w:t>
      </w:r>
    </w:p>
    <w:p w:rsidR="00F1577A" w:rsidRPr="00347576" w:rsidRDefault="00F1577A" w:rsidP="00CE7146">
      <w:pPr>
        <w:pStyle w:val="a4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 w:rsidRPr="00347576">
        <w:rPr>
          <w:b/>
          <w:color w:val="222222"/>
          <w:sz w:val="28"/>
          <w:szCs w:val="28"/>
        </w:rPr>
        <w:t>Освобождение от налога на имущество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Это послабление касается юридических лиц в системе МСП: от налогообложения будут избавлены объекты, по которым налоговая база определяется как кадастровая стоимость этих объектов.</w:t>
      </w:r>
    </w:p>
    <w:p w:rsidR="00CE7146" w:rsidRPr="00347576" w:rsidRDefault="00CE7146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t>В заключение стоит отметить, что с </w:t>
      </w:r>
      <w:r w:rsidR="00CE7146" w:rsidRPr="00347576">
        <w:rPr>
          <w:color w:val="222222"/>
          <w:sz w:val="28"/>
          <w:szCs w:val="28"/>
        </w:rPr>
        <w:t>2023</w:t>
      </w:r>
      <w:r w:rsidRPr="00347576">
        <w:rPr>
          <w:color w:val="222222"/>
          <w:sz w:val="28"/>
          <w:szCs w:val="28"/>
        </w:rPr>
        <w:t xml:space="preserve"> года существенно упрощена и сама система уплаты налоговых отчислений в связи с введением </w:t>
      </w:r>
      <w:hyperlink r:id="rId17" w:history="1">
        <w:r w:rsidRPr="00347576">
          <w:rPr>
            <w:rStyle w:val="a3"/>
            <w:rFonts w:eastAsiaTheme="majorEastAsia"/>
            <w:b/>
            <w:color w:val="auto"/>
            <w:sz w:val="28"/>
            <w:szCs w:val="28"/>
          </w:rPr>
          <w:t>Единого налогового счета и платежа</w:t>
        </w:r>
      </w:hyperlink>
      <w:r w:rsidRPr="00347576">
        <w:rPr>
          <w:color w:val="222222"/>
          <w:sz w:val="28"/>
          <w:szCs w:val="28"/>
        </w:rPr>
        <w:t> (ЕНС и ЕНП). Отныне финансы в обязательном порядке должны отправляться в налоговую в виде единого платежного документа, а уже сотрудники ФНС сами распределяют поступившие денежные средства в соответствии с видами отчислений.</w:t>
      </w:r>
    </w:p>
    <w:p w:rsidR="00F1577A" w:rsidRPr="00347576" w:rsidRDefault="00F1577A" w:rsidP="00F1577A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347576">
        <w:rPr>
          <w:color w:val="222222"/>
          <w:sz w:val="28"/>
          <w:szCs w:val="28"/>
        </w:rPr>
        <w:lastRenderedPageBreak/>
        <w:t>Перечисленные налоговые стимулы — лишь малая часть изменений и нововведений, которые предлагаются в помощь МСП. Помимо этого есть </w:t>
      </w:r>
      <w:proofErr w:type="spellStart"/>
      <w:r w:rsidRPr="00347576">
        <w:rPr>
          <w:sz w:val="28"/>
          <w:szCs w:val="28"/>
        </w:rPr>
        <w:fldChar w:fldCharType="begin"/>
      </w:r>
      <w:r w:rsidRPr="00347576">
        <w:rPr>
          <w:sz w:val="28"/>
          <w:szCs w:val="28"/>
        </w:rPr>
        <w:instrText xml:space="preserve"> HYPERLINK "https://kontur.ru/articles/4710" \l "header_25703_5" </w:instrText>
      </w:r>
      <w:r w:rsidRPr="00347576">
        <w:rPr>
          <w:sz w:val="28"/>
          <w:szCs w:val="28"/>
        </w:rPr>
        <w:fldChar w:fldCharType="separate"/>
      </w:r>
      <w:r w:rsidRPr="00347576">
        <w:rPr>
          <w:rStyle w:val="a3"/>
          <w:rFonts w:eastAsiaTheme="majorEastAsia"/>
          <w:color w:val="auto"/>
          <w:sz w:val="28"/>
          <w:szCs w:val="28"/>
          <w:u w:val="none"/>
        </w:rPr>
        <w:t>грантовая</w:t>
      </w:r>
      <w:proofErr w:type="spellEnd"/>
      <w:r w:rsidRPr="00347576">
        <w:rPr>
          <w:rStyle w:val="a3"/>
          <w:rFonts w:eastAsiaTheme="majorEastAsia"/>
          <w:color w:val="auto"/>
          <w:sz w:val="28"/>
          <w:szCs w:val="28"/>
          <w:u w:val="none"/>
        </w:rPr>
        <w:t xml:space="preserve"> поддержка</w:t>
      </w:r>
      <w:r w:rsidRPr="00347576">
        <w:rPr>
          <w:sz w:val="28"/>
          <w:szCs w:val="28"/>
        </w:rPr>
        <w:fldChar w:fldCharType="end"/>
      </w:r>
      <w:r w:rsidRPr="00347576">
        <w:rPr>
          <w:sz w:val="28"/>
          <w:szCs w:val="28"/>
        </w:rPr>
        <w:t>, </w:t>
      </w:r>
      <w:hyperlink r:id="rId18" w:history="1">
        <w:r w:rsidRPr="00347576">
          <w:rPr>
            <w:rStyle w:val="a3"/>
            <w:rFonts w:eastAsiaTheme="majorEastAsia"/>
            <w:color w:val="auto"/>
            <w:sz w:val="28"/>
            <w:szCs w:val="28"/>
            <w:u w:val="none"/>
          </w:rPr>
          <w:t>социальные контракты</w:t>
        </w:r>
      </w:hyperlink>
      <w:r w:rsidRPr="00347576">
        <w:rPr>
          <w:color w:val="222222"/>
          <w:sz w:val="28"/>
          <w:szCs w:val="28"/>
        </w:rPr>
        <w:t>, объединенные цифровые сервисы, содействие инновациям и многое другое, на что стоит обратить внимание.</w:t>
      </w:r>
    </w:p>
    <w:p w:rsidR="00F1577A" w:rsidRPr="00347576" w:rsidRDefault="00F1577A" w:rsidP="00F1577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F1577A" w:rsidRPr="003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CC9"/>
    <w:multiLevelType w:val="multilevel"/>
    <w:tmpl w:val="E0A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02A04"/>
    <w:multiLevelType w:val="multilevel"/>
    <w:tmpl w:val="469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05A7"/>
    <w:multiLevelType w:val="multilevel"/>
    <w:tmpl w:val="254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F1"/>
    <w:rsid w:val="001676F1"/>
    <w:rsid w:val="00347576"/>
    <w:rsid w:val="004B4194"/>
    <w:rsid w:val="00CE7146"/>
    <w:rsid w:val="00E43FD4"/>
    <w:rsid w:val="00F1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18C9"/>
  <w15:chartTrackingRefBased/>
  <w15:docId w15:val="{C4530862-C45A-46E0-83BB-D78B9BE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77A"/>
    <w:rPr>
      <w:color w:val="0000FF"/>
      <w:u w:val="single"/>
    </w:rPr>
  </w:style>
  <w:style w:type="character" w:customStyle="1" w:styleId="breadcrumbs-itemarrow">
    <w:name w:val="breadcrumbs-item__arrow"/>
    <w:basedOn w:val="a0"/>
    <w:rsid w:val="00F1577A"/>
  </w:style>
  <w:style w:type="character" w:customStyle="1" w:styleId="20">
    <w:name w:val="Заголовок 2 Знак"/>
    <w:basedOn w:val="a0"/>
    <w:link w:val="2"/>
    <w:uiPriority w:val="9"/>
    <w:semiHidden/>
    <w:rsid w:val="00F15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F1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6324-msp_stimul" TargetMode="External"/><Relationship Id="rId13" Type="http://schemas.openxmlformats.org/officeDocument/2006/relationships/hyperlink" Target="https://kontur.ru/articles/46324-msp_stimul" TargetMode="External"/><Relationship Id="rId18" Type="http://schemas.openxmlformats.org/officeDocument/2006/relationships/hyperlink" Target="https://kontur.ru/articles/6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tur.ru/articles/46324-msp_stimul" TargetMode="External"/><Relationship Id="rId12" Type="http://schemas.openxmlformats.org/officeDocument/2006/relationships/hyperlink" Target="https://kontur.ru/articles/46324-msp_stimul" TargetMode="External"/><Relationship Id="rId17" Type="http://schemas.openxmlformats.org/officeDocument/2006/relationships/hyperlink" Target="https://kontur.ru/articles/37714-edinyj_nalogovyj_platezh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tur.ru/articles/30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6324-msp_stimul" TargetMode="External"/><Relationship Id="rId11" Type="http://schemas.openxmlformats.org/officeDocument/2006/relationships/hyperlink" Target="https://kontur.ru/articles/46324-msp_stimul" TargetMode="External"/><Relationship Id="rId5" Type="http://schemas.openxmlformats.org/officeDocument/2006/relationships/hyperlink" Target="https://normativ.kontur.ru/document?moduleId=1&amp;documentId=440283&amp;cwi=0&amp;p=1210&amp;utm_source=yandex&amp;utm_medium=organic&amp;utm_referer=yandex.ru&amp;utm_startpage=kontur.ru%2Farticles%2F46324-msp_stimul&amp;utm_orderpage=kontur.ru%2Farticles%2F46324-msp_stimul" TargetMode="External"/><Relationship Id="rId15" Type="http://schemas.openxmlformats.org/officeDocument/2006/relationships/hyperlink" Target="https://kontur.ru/articles/31006-mobilizovannym_ip_predostavlena_otsrochka" TargetMode="External"/><Relationship Id="rId10" Type="http://schemas.openxmlformats.org/officeDocument/2006/relationships/hyperlink" Target="https://kontur.ru/articles/46324-msp_stimu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6324-msp_stimul" TargetMode="External"/><Relationship Id="rId14" Type="http://schemas.openxmlformats.org/officeDocument/2006/relationships/hyperlink" Target="https://kontur.ru/articles/46324-msp_stim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2024-03-19T05:43:00Z</dcterms:created>
  <dcterms:modified xsi:type="dcterms:W3CDTF">2024-03-19T06:14:00Z</dcterms:modified>
</cp:coreProperties>
</file>