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F1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B7310" w:rsidRPr="0095360B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муниципальный район </w:t>
      </w:r>
      <w:r w:rsidRPr="0095360B">
        <w:rPr>
          <w:b/>
          <w:sz w:val="28"/>
          <w:szCs w:val="28"/>
          <w:u w:val="single"/>
        </w:rPr>
        <w:t>«</w:t>
      </w:r>
      <w:r w:rsidR="0095360B" w:rsidRPr="0095360B">
        <w:rPr>
          <w:b/>
          <w:sz w:val="28"/>
          <w:szCs w:val="28"/>
          <w:u w:val="single"/>
        </w:rPr>
        <w:t>Петровск-Забайкальский район</w:t>
      </w:r>
      <w:r w:rsidRPr="0095360B">
        <w:rPr>
          <w:b/>
          <w:sz w:val="28"/>
          <w:szCs w:val="28"/>
          <w:u w:val="single"/>
        </w:rPr>
        <w:t>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833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328"/>
        <w:gridCol w:w="2372"/>
        <w:gridCol w:w="4046"/>
        <w:gridCol w:w="2794"/>
        <w:gridCol w:w="3260"/>
        <w:gridCol w:w="3260"/>
        <w:gridCol w:w="3250"/>
      </w:tblGrid>
      <w:tr w:rsidR="00A37435" w:rsidRPr="00F31422" w:rsidTr="00C601F2">
        <w:trPr>
          <w:gridAfter w:val="3"/>
          <w:wAfter w:w="2014" w:type="pct"/>
        </w:trPr>
        <w:tc>
          <w:tcPr>
            <w:tcW w:w="195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4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2F1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</w:t>
            </w:r>
            <w:r w:rsidR="002F1682">
              <w:rPr>
                <w:b/>
                <w:sz w:val="24"/>
                <w:szCs w:val="24"/>
              </w:rPr>
              <w:t>3</w:t>
            </w:r>
            <w:r w:rsidR="00A3743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7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C601F2">
        <w:trPr>
          <w:gridAfter w:val="3"/>
          <w:wAfter w:w="2014" w:type="pct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340"/>
        </w:trPr>
        <w:tc>
          <w:tcPr>
            <w:tcW w:w="2986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283"/>
        </w:trPr>
        <w:tc>
          <w:tcPr>
            <w:tcW w:w="2986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892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95360B" w:rsidRDefault="0095360B" w:rsidP="0095360B">
            <w:pPr>
              <w:pStyle w:val="ae"/>
              <w:tabs>
                <w:tab w:val="right" w:pos="2894"/>
                <w:tab w:val="right" w:pos="442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 данной сфере доля присутствия организаций</w:t>
            </w:r>
            <w:r>
              <w:rPr>
                <w:color w:val="000000"/>
                <w:sz w:val="24"/>
                <w:szCs w:val="24"/>
              </w:rPr>
              <w:tab/>
              <w:t>частной</w:t>
            </w:r>
            <w:r>
              <w:rPr>
                <w:color w:val="000000"/>
                <w:sz w:val="24"/>
                <w:szCs w:val="24"/>
              </w:rPr>
              <w:tab/>
              <w:t>формы</w:t>
            </w:r>
          </w:p>
          <w:p w:rsidR="0095360B" w:rsidRDefault="0095360B" w:rsidP="0095360B">
            <w:pPr>
              <w:pStyle w:val="ae"/>
              <w:tabs>
                <w:tab w:val="left" w:pos="850"/>
                <w:tab w:val="left" w:pos="36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собственности составляет 100 %. На территории района деятельность по сбору и</w:t>
            </w:r>
            <w:r>
              <w:rPr>
                <w:color w:val="000000"/>
                <w:sz w:val="24"/>
                <w:szCs w:val="24"/>
              </w:rPr>
              <w:tab/>
              <w:t>транспортированию отходов</w:t>
            </w:r>
          </w:p>
          <w:p w:rsidR="00A37435" w:rsidRPr="0095360B" w:rsidRDefault="0095360B" w:rsidP="0095360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 1 региональный </w:t>
            </w:r>
            <w:proofErr w:type="gramStart"/>
            <w:r>
              <w:rPr>
                <w:color w:val="000000"/>
                <w:sz w:val="24"/>
                <w:szCs w:val="24"/>
              </w:rPr>
              <w:t>оператор  ООО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Олерон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76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283"/>
        </w:trPr>
        <w:tc>
          <w:tcPr>
            <w:tcW w:w="2986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A37435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892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48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FFFFFF" w:themeFill="background1"/>
          </w:tcPr>
          <w:p w:rsidR="00A37435" w:rsidRPr="00F31422" w:rsidRDefault="0095360B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 составила 100,0 %</w:t>
            </w:r>
          </w:p>
        </w:tc>
        <w:tc>
          <w:tcPr>
            <w:tcW w:w="576" w:type="pct"/>
            <w:shd w:val="clear" w:color="auto" w:fill="FFFFFF" w:themeFill="background1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283"/>
        </w:trPr>
        <w:tc>
          <w:tcPr>
            <w:tcW w:w="2986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892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48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A37435" w:rsidRPr="00F31422" w:rsidRDefault="0095360B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настоящее время на территории района действует 1 газораспределительная организация по поставке сжиженного углеводородного газа для бытовых нужд населения края - ОАО «</w:t>
            </w:r>
            <w:proofErr w:type="spellStart"/>
            <w:r>
              <w:rPr>
                <w:color w:val="000000"/>
                <w:sz w:val="24"/>
                <w:szCs w:val="24"/>
              </w:rPr>
              <w:t>Читаоблгаз</w:t>
            </w:r>
            <w:proofErr w:type="spellEnd"/>
            <w:r>
              <w:rPr>
                <w:color w:val="000000"/>
                <w:sz w:val="24"/>
                <w:szCs w:val="24"/>
              </w:rPr>
              <w:t>», которая является организациями частной формы собственности. Доля организаций частной формы собственности в сфере поставки сжиженного газа в баллонах составляет 100,0%.</w:t>
            </w:r>
          </w:p>
        </w:tc>
        <w:tc>
          <w:tcPr>
            <w:tcW w:w="576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892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48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D240DA" w:rsidRDefault="00EF5EA7" w:rsidP="00EF5EA7">
            <w:pPr>
              <w:pStyle w:val="ae"/>
              <w:tabs>
                <w:tab w:val="left" w:pos="2285"/>
                <w:tab w:val="left" w:pos="42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конкурсная документация об осуществлении перевозок по одному или нескольким межмуниципальным маршрутам регулярных перевозок пассажиров и багажа. Открытый конкурс на право получения свидетельства об осуществлении перевозок проводится один раз в квартал. </w:t>
            </w:r>
          </w:p>
          <w:p w:rsidR="00A37435" w:rsidRPr="00EF5EA7" w:rsidRDefault="00EF5EA7" w:rsidP="00EF5EA7">
            <w:pPr>
              <w:pStyle w:val="ae"/>
              <w:tabs>
                <w:tab w:val="left" w:pos="2285"/>
                <w:tab w:val="left" w:pos="42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 обслуживанию 5 муниципальных маршрутов привлечен 1 перевозчик. Доля услуг по перевозке пассажиров автомобильным</w:t>
            </w:r>
            <w:r>
              <w:rPr>
                <w:color w:val="000000"/>
                <w:sz w:val="24"/>
                <w:szCs w:val="24"/>
              </w:rPr>
              <w:tab/>
              <w:t>транспортом по муниципальным маршрутам регулярных перевозок, оказанных организациями частной формы собственности, составляет 100 %.</w:t>
            </w:r>
          </w:p>
        </w:tc>
        <w:tc>
          <w:tcPr>
            <w:tcW w:w="576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283"/>
        </w:trPr>
        <w:tc>
          <w:tcPr>
            <w:tcW w:w="2986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37435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892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</w:t>
            </w:r>
            <w:r w:rsidR="0012200D">
              <w:rPr>
                <w:sz w:val="24"/>
                <w:szCs w:val="24"/>
                <w:lang w:eastAsia="en-US"/>
              </w:rPr>
              <w:t> </w:t>
            </w:r>
            <w:r w:rsidRPr="00F31422">
              <w:rPr>
                <w:sz w:val="24"/>
                <w:szCs w:val="24"/>
                <w:lang w:eastAsia="en-US"/>
              </w:rPr>
              <w:t>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48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A37435" w:rsidRPr="00F31422" w:rsidRDefault="00D240DA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3600 объектов недвижимого имущества </w:t>
            </w:r>
            <w:r w:rsidR="0012200D">
              <w:rPr>
                <w:sz w:val="24"/>
                <w:szCs w:val="24"/>
                <w:lang w:eastAsia="en-US"/>
              </w:rPr>
              <w:t>отработано, в</w:t>
            </w:r>
            <w:r>
              <w:rPr>
                <w:sz w:val="24"/>
                <w:szCs w:val="24"/>
                <w:lang w:eastAsia="en-US"/>
              </w:rPr>
              <w:t xml:space="preserve"> том числе снято с кадастрового учета 980 объектов.</w:t>
            </w:r>
          </w:p>
        </w:tc>
        <w:tc>
          <w:tcPr>
            <w:tcW w:w="576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283"/>
        </w:trPr>
        <w:tc>
          <w:tcPr>
            <w:tcW w:w="2986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A37435" w:rsidRPr="00F31422" w:rsidTr="0012200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098"/>
        </w:trPr>
        <w:tc>
          <w:tcPr>
            <w:tcW w:w="195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1.28.1</w:t>
            </w:r>
          </w:p>
        </w:tc>
        <w:tc>
          <w:tcPr>
            <w:tcW w:w="892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48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Default="00C601F2" w:rsidP="00C601F2">
            <w:pPr>
              <w:pStyle w:val="ae"/>
              <w:tabs>
                <w:tab w:val="right" w:pos="447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Несмотря на то, что доля организаций частной формы собственности на рынке нефтепродуктов составляет 100,0%, необходимо увеличение количества хозяйствующих</w:t>
            </w:r>
            <w:r>
              <w:rPr>
                <w:color w:val="000000"/>
                <w:sz w:val="24"/>
                <w:szCs w:val="24"/>
              </w:rPr>
              <w:tab/>
              <w:t>субъектов,</w:t>
            </w:r>
          </w:p>
          <w:p w:rsidR="00C601F2" w:rsidRDefault="00C601F2" w:rsidP="00C601F2">
            <w:pPr>
              <w:pStyle w:val="ae"/>
              <w:tabs>
                <w:tab w:val="right" w:pos="448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осуществляющих деятельность на рынке нефтепродуктов. В соответствии с аналитическим отчетом Забайкальского УФАС России локальный рынок автомобильных бензинов всех марок Петровск-Забайкальского</w:t>
            </w:r>
            <w:r>
              <w:rPr>
                <w:color w:val="000000"/>
                <w:sz w:val="24"/>
                <w:szCs w:val="24"/>
              </w:rPr>
              <w:tab/>
              <w:t>района</w:t>
            </w:r>
          </w:p>
          <w:p w:rsidR="00A37435" w:rsidRPr="00F31422" w:rsidRDefault="00C601F2" w:rsidP="00C601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относится к высококонцентрированным рынкам с неразвитой конкуренцией, так как на них осуществляют деятельность от 1 до 3 хозяйствующих субъектов.</w:t>
            </w:r>
          </w:p>
        </w:tc>
        <w:tc>
          <w:tcPr>
            <w:tcW w:w="576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601F2" w:rsidRPr="00F31422" w:rsidTr="006935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2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892" w:type="pct"/>
            <w:shd w:val="clear" w:color="auto" w:fill="auto"/>
          </w:tcPr>
          <w:p w:rsidR="00C601F2" w:rsidRPr="00F31422" w:rsidRDefault="00C601F2" w:rsidP="00C601F2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489" w:type="pct"/>
            <w:shd w:val="clear" w:color="auto" w:fill="auto"/>
          </w:tcPr>
          <w:p w:rsidR="00C601F2" w:rsidRPr="00F31422" w:rsidRDefault="00C601F2" w:rsidP="00C601F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Default="00C601F2" w:rsidP="00C601F2">
            <w:pPr>
              <w:pStyle w:val="ae"/>
              <w:tabs>
                <w:tab w:val="left" w:pos="292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и ведение перечня земельных участков, находящихся в</w:t>
            </w:r>
          </w:p>
          <w:p w:rsidR="00C601F2" w:rsidRDefault="00C601F2" w:rsidP="00C601F2">
            <w:pPr>
              <w:pStyle w:val="ae"/>
              <w:tabs>
                <w:tab w:val="right" w:pos="3024"/>
              </w:tabs>
            </w:pPr>
            <w:r>
              <w:rPr>
                <w:color w:val="000000"/>
                <w:sz w:val="24"/>
                <w:szCs w:val="24"/>
              </w:rPr>
              <w:t>муниципальной собственности, и земельных участков на территории Забайкальского</w:t>
            </w:r>
            <w:r>
              <w:rPr>
                <w:color w:val="000000"/>
                <w:sz w:val="24"/>
                <w:szCs w:val="24"/>
              </w:rPr>
              <w:tab/>
              <w:t>края,</w:t>
            </w:r>
          </w:p>
          <w:p w:rsidR="00C601F2" w:rsidRDefault="00C601F2" w:rsidP="00C601F2">
            <w:pPr>
              <w:pStyle w:val="ae"/>
              <w:tabs>
                <w:tab w:val="right" w:pos="3034"/>
              </w:tabs>
            </w:pPr>
            <w:r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разграничена,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:rsidR="00C601F2" w:rsidRDefault="00C601F2" w:rsidP="00C601F2">
            <w:pPr>
              <w:pStyle w:val="ae"/>
              <w:tabs>
                <w:tab w:val="right" w:pos="302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предоставления их в аренду без проведения торгов предпринимателям</w:t>
            </w:r>
            <w:r>
              <w:rPr>
                <w:color w:val="000000"/>
                <w:sz w:val="24"/>
                <w:szCs w:val="24"/>
              </w:rPr>
              <w:tab/>
              <w:t>под</w:t>
            </w:r>
          </w:p>
          <w:p w:rsidR="00C601F2" w:rsidRDefault="00C601F2" w:rsidP="00C601F2">
            <w:pPr>
              <w:pStyle w:val="ae"/>
              <w:tabs>
                <w:tab w:val="left" w:pos="2678"/>
              </w:tabs>
            </w:pPr>
            <w:r>
              <w:rPr>
                <w:color w:val="000000"/>
                <w:sz w:val="24"/>
                <w:szCs w:val="24"/>
              </w:rPr>
              <w:t>строительство комплекса зданий, сооружений и коммуникаций, предназначенных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:rsidR="00C601F2" w:rsidRDefault="00C601F2" w:rsidP="00C601F2">
            <w:pPr>
              <w:pStyle w:val="ae"/>
              <w:tabs>
                <w:tab w:val="left" w:pos="215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организации </w:t>
            </w:r>
            <w:r w:rsidR="00FA30FF">
              <w:rPr>
                <w:color w:val="000000"/>
                <w:sz w:val="24"/>
                <w:szCs w:val="24"/>
              </w:rPr>
              <w:t>приема, хранения</w:t>
            </w:r>
            <w:r>
              <w:rPr>
                <w:color w:val="000000"/>
                <w:sz w:val="24"/>
                <w:szCs w:val="24"/>
              </w:rPr>
              <w:t>, отпуска и учета нефтепродуктов</w:t>
            </w:r>
          </w:p>
        </w:tc>
        <w:tc>
          <w:tcPr>
            <w:tcW w:w="576" w:type="pc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</w:t>
            </w:r>
            <w:r w:rsidRPr="00F31422">
              <w:rPr>
                <w:sz w:val="24"/>
                <w:szCs w:val="24"/>
              </w:rPr>
              <w:lastRenderedPageBreak/>
              <w:t>муниципальных районов и городских округов Забайкальского края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C601F2" w:rsidRPr="00F31422" w:rsidTr="00330DB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733"/>
        </w:trPr>
        <w:tc>
          <w:tcPr>
            <w:tcW w:w="2986" w:type="pct"/>
            <w:gridSpan w:val="5"/>
            <w:shd w:val="clear" w:color="auto" w:fill="auto"/>
          </w:tcPr>
          <w:p w:rsidR="00330DBC" w:rsidRPr="00330DBC" w:rsidRDefault="00330DBC" w:rsidP="00330DB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01F2" w:rsidRPr="00330DBC" w:rsidRDefault="00330DBC" w:rsidP="00330D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1.33 </w:t>
            </w:r>
            <w:r w:rsidR="00C601F2" w:rsidRPr="00330DBC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C601F2" w:rsidRPr="00F31422" w:rsidRDefault="00C601F2" w:rsidP="00C601F2">
            <w:pPr>
              <w:spacing w:after="200" w:line="276" w:lineRule="auto"/>
            </w:pPr>
          </w:p>
        </w:tc>
        <w:tc>
          <w:tcPr>
            <w:tcW w:w="672" w:type="pct"/>
          </w:tcPr>
          <w:p w:rsidR="00C601F2" w:rsidRPr="00F31422" w:rsidRDefault="00C601F2" w:rsidP="00C601F2">
            <w:pPr>
              <w:spacing w:after="200" w:line="276" w:lineRule="auto"/>
            </w:pPr>
          </w:p>
        </w:tc>
        <w:tc>
          <w:tcPr>
            <w:tcW w:w="670" w:type="pct"/>
          </w:tcPr>
          <w:p w:rsidR="00C601F2" w:rsidRDefault="00C601F2" w:rsidP="00C601F2">
            <w:pPr>
              <w:pStyle w:val="ae"/>
              <w:tabs>
                <w:tab w:val="left" w:pos="2678"/>
              </w:tabs>
            </w:pPr>
            <w:r>
              <w:rPr>
                <w:color w:val="000000"/>
                <w:sz w:val="24"/>
                <w:szCs w:val="24"/>
              </w:rPr>
              <w:t>коммуникаций, предназначенных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:rsidR="00C601F2" w:rsidRDefault="00C601F2" w:rsidP="00C601F2">
            <w:pPr>
              <w:pStyle w:val="ae"/>
              <w:tabs>
                <w:tab w:val="left" w:pos="215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приема,</w:t>
            </w:r>
          </w:p>
          <w:p w:rsidR="00C601F2" w:rsidRDefault="00C601F2" w:rsidP="00C601F2">
            <w:pPr>
              <w:pStyle w:val="ae"/>
              <w:tabs>
                <w:tab w:val="left" w:pos="292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хранения, отпуска и учета нефтепродуктов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892" w:type="pct"/>
            <w:shd w:val="clear" w:color="auto" w:fill="auto"/>
          </w:tcPr>
          <w:p w:rsidR="00C601F2" w:rsidRPr="00F31422" w:rsidRDefault="00C601F2" w:rsidP="00C601F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489" w:type="pct"/>
            <w:shd w:val="clear" w:color="auto" w:fill="auto"/>
          </w:tcPr>
          <w:p w:rsidR="00C601F2" w:rsidRPr="00F31422" w:rsidRDefault="00C601F2" w:rsidP="00C601F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3B4B4A" w:rsidRPr="0053329E" w:rsidRDefault="003B4B4A" w:rsidP="003B4B4A">
            <w:pPr>
              <w:pStyle w:val="ae"/>
              <w:tabs>
                <w:tab w:val="left" w:pos="3682"/>
              </w:tabs>
              <w:spacing w:line="233" w:lineRule="auto"/>
              <w:jc w:val="both"/>
            </w:pPr>
            <w:r w:rsidRPr="0053329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3329E">
              <w:rPr>
                <w:color w:val="000000"/>
                <w:sz w:val="24"/>
                <w:szCs w:val="24"/>
              </w:rPr>
              <w:t>Петровск-Забайкальском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29E">
              <w:rPr>
                <w:color w:val="000000"/>
                <w:sz w:val="24"/>
                <w:szCs w:val="24"/>
              </w:rPr>
              <w:t>районе</w:t>
            </w:r>
          </w:p>
          <w:p w:rsidR="003B4B4A" w:rsidRPr="0053329E" w:rsidRDefault="003B4B4A" w:rsidP="003B4B4A">
            <w:pPr>
              <w:pStyle w:val="ae"/>
              <w:tabs>
                <w:tab w:val="left" w:pos="3101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о</w:t>
            </w:r>
            <w:r w:rsidRPr="0053329E">
              <w:rPr>
                <w:color w:val="000000"/>
                <w:sz w:val="24"/>
                <w:szCs w:val="24"/>
              </w:rPr>
              <w:t>тсутствуют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29E">
              <w:rPr>
                <w:color w:val="000000"/>
                <w:sz w:val="24"/>
                <w:szCs w:val="24"/>
              </w:rPr>
              <w:t>предприятия,</w:t>
            </w:r>
          </w:p>
          <w:p w:rsidR="00C601F2" w:rsidRPr="00F31422" w:rsidRDefault="003B4B4A" w:rsidP="003B4B4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53329E">
              <w:rPr>
                <w:color w:val="000000"/>
                <w:sz w:val="24"/>
                <w:szCs w:val="24"/>
              </w:rPr>
              <w:t>осуществляющие свою деятельность в сфере рекламы.</w:t>
            </w:r>
          </w:p>
        </w:tc>
        <w:tc>
          <w:tcPr>
            <w:tcW w:w="576" w:type="pc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397"/>
        </w:trPr>
        <w:tc>
          <w:tcPr>
            <w:tcW w:w="2986" w:type="pct"/>
            <w:gridSpan w:val="5"/>
            <w:shd w:val="clear" w:color="auto" w:fill="auto"/>
            <w:vAlign w:val="center"/>
          </w:tcPr>
          <w:p w:rsidR="00C601F2" w:rsidRPr="00F31422" w:rsidRDefault="00C601F2" w:rsidP="00C601F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F31422" w:rsidRDefault="00C601F2" w:rsidP="00C601F2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892" w:type="pct"/>
            <w:shd w:val="clear" w:color="auto" w:fill="auto"/>
          </w:tcPr>
          <w:p w:rsidR="00C601F2" w:rsidRPr="00F31422" w:rsidRDefault="00C601F2" w:rsidP="00C601F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489" w:type="pct"/>
            <w:shd w:val="clear" w:color="auto" w:fill="auto"/>
          </w:tcPr>
          <w:p w:rsidR="00C601F2" w:rsidRPr="00F31422" w:rsidRDefault="00C601F2" w:rsidP="00C60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3B4B4A" w:rsidP="00C601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2018 году заключено соглашение между Правительством Забайкальского края и администрацией муниципального района «Петровск- Забайкальский район» о передаче полномочий по определению поставщиков (подрядчиков, исполнителей) для муниципальных заказчиков ГКУ </w:t>
            </w:r>
            <w:r>
              <w:rPr>
                <w:color w:val="000000"/>
                <w:sz w:val="24"/>
                <w:szCs w:val="24"/>
              </w:rPr>
              <w:lastRenderedPageBreak/>
              <w:t>«Забайкальский центр государственных закупок».</w:t>
            </w:r>
          </w:p>
        </w:tc>
        <w:tc>
          <w:tcPr>
            <w:tcW w:w="576" w:type="pc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F31422" w:rsidRDefault="00C601F2" w:rsidP="00C601F2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892" w:type="pct"/>
            <w:shd w:val="clear" w:color="auto" w:fill="auto"/>
          </w:tcPr>
          <w:p w:rsidR="00C601F2" w:rsidRPr="00F31422" w:rsidRDefault="00C601F2" w:rsidP="00C601F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C601F2" w:rsidRPr="00F31422" w:rsidRDefault="00C601F2" w:rsidP="00C601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shd w:val="clear" w:color="auto" w:fill="auto"/>
          </w:tcPr>
          <w:p w:rsidR="00C601F2" w:rsidRPr="00F31422" w:rsidRDefault="00C601F2" w:rsidP="00C60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6E1131" w:rsidP="00C601F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Обеспечение обратной связи с субъектами предпринимательской деятельности. 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576" w:type="pc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817E17" w:rsidRDefault="00C601F2" w:rsidP="00C601F2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892" w:type="pct"/>
            <w:shd w:val="clear" w:color="auto" w:fill="auto"/>
          </w:tcPr>
          <w:p w:rsidR="00C601F2" w:rsidRPr="000E7293" w:rsidRDefault="00C601F2" w:rsidP="00C601F2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C601F2" w:rsidRPr="000E7293" w:rsidRDefault="00C601F2" w:rsidP="00C601F2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C601F2" w:rsidRPr="000E7293" w:rsidRDefault="00C601F2" w:rsidP="00C601F2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и проведение публичных торгов по реализации указанного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имущества, перепрофилирование (изменение целевого</w:t>
            </w:r>
          </w:p>
          <w:p w:rsidR="00C601F2" w:rsidRPr="000E7293" w:rsidRDefault="00C601F2" w:rsidP="00C601F2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489" w:type="pct"/>
            <w:shd w:val="clear" w:color="auto" w:fill="auto"/>
          </w:tcPr>
          <w:p w:rsidR="00C601F2" w:rsidRPr="000E7293" w:rsidRDefault="00C601F2" w:rsidP="00C601F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A71547" w:rsidP="00C601F2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Имущества, несоответствующего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требованиям отнесения к категориям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  <w:lang w:eastAsia="en-US"/>
              </w:rPr>
              <w:t xml:space="preserve"> в Петровск-Забайкальском районе нет</w:t>
            </w:r>
          </w:p>
        </w:tc>
        <w:tc>
          <w:tcPr>
            <w:tcW w:w="576" w:type="pct"/>
            <w:shd w:val="clear" w:color="auto" w:fill="auto"/>
          </w:tcPr>
          <w:p w:rsidR="00C601F2" w:rsidRPr="000E7293" w:rsidRDefault="00C601F2" w:rsidP="00C601F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C601F2" w:rsidRPr="00F31422" w:rsidRDefault="00C601F2" w:rsidP="00C601F2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817E17" w:rsidRDefault="00C601F2" w:rsidP="00C601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92" w:type="pct"/>
            <w:shd w:val="clear" w:color="auto" w:fill="auto"/>
          </w:tcPr>
          <w:p w:rsidR="00C601F2" w:rsidRPr="00F31422" w:rsidRDefault="00C601F2" w:rsidP="00C601F2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489" w:type="pct"/>
            <w:shd w:val="clear" w:color="auto" w:fill="auto"/>
          </w:tcPr>
          <w:p w:rsidR="00C601F2" w:rsidRPr="00F968A6" w:rsidRDefault="00C601F2" w:rsidP="00C60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330DBC" w:rsidP="00330DB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Необходимость проведения мероприятий, направленных на профессиональное развитие муниципальных служащих муниципального района «Петровск-Забайкальский район»</w:t>
            </w:r>
          </w:p>
        </w:tc>
        <w:tc>
          <w:tcPr>
            <w:tcW w:w="576" w:type="pct"/>
            <w:shd w:val="clear" w:color="auto" w:fill="auto"/>
          </w:tcPr>
          <w:p w:rsidR="00C601F2" w:rsidRPr="000E7293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399"/>
        </w:trPr>
        <w:tc>
          <w:tcPr>
            <w:tcW w:w="2986" w:type="pct"/>
            <w:gridSpan w:val="5"/>
            <w:shd w:val="clear" w:color="auto" w:fill="auto"/>
          </w:tcPr>
          <w:p w:rsidR="00C601F2" w:rsidRPr="008729BB" w:rsidRDefault="00C601F2" w:rsidP="00C601F2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Default="00C601F2" w:rsidP="00C60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892" w:type="pct"/>
            <w:shd w:val="clear" w:color="auto" w:fill="auto"/>
          </w:tcPr>
          <w:p w:rsidR="00C601F2" w:rsidRPr="000E7293" w:rsidRDefault="00C601F2" w:rsidP="00C601F2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489" w:type="pct"/>
            <w:shd w:val="clear" w:color="auto" w:fill="auto"/>
          </w:tcPr>
          <w:p w:rsidR="00C601F2" w:rsidRPr="000E7293" w:rsidRDefault="00C601F2" w:rsidP="00C60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330DBC" w:rsidP="00C601F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проведения ярмарок сформирован, работа ведется согласно утвержденного графика.  </w:t>
            </w:r>
          </w:p>
        </w:tc>
        <w:tc>
          <w:tcPr>
            <w:tcW w:w="576" w:type="pc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0E7293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Default="00C601F2" w:rsidP="00C60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892" w:type="pct"/>
            <w:shd w:val="clear" w:color="auto" w:fill="auto"/>
          </w:tcPr>
          <w:p w:rsidR="00C601F2" w:rsidRPr="000E7293" w:rsidRDefault="00C601F2" w:rsidP="00C60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489" w:type="pct"/>
            <w:shd w:val="clear" w:color="auto" w:fill="auto"/>
          </w:tcPr>
          <w:p w:rsidR="00C601F2" w:rsidRPr="000E7293" w:rsidRDefault="00C601F2" w:rsidP="00C601F2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045350" w:rsidP="00C601F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621AC">
              <w:rPr>
                <w:sz w:val="24"/>
                <w:szCs w:val="24"/>
              </w:rPr>
              <w:t>бюджете муниципального района средств на предоставление социальных услуг населению не заложено.</w:t>
            </w:r>
          </w:p>
        </w:tc>
        <w:tc>
          <w:tcPr>
            <w:tcW w:w="576" w:type="pct"/>
            <w:shd w:val="clear" w:color="auto" w:fill="auto"/>
          </w:tcPr>
          <w:p w:rsidR="00C601F2" w:rsidRDefault="00C601F2" w:rsidP="00C601F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C601F2" w:rsidRPr="000E7293" w:rsidRDefault="00C601F2" w:rsidP="00C601F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601F2" w:rsidRPr="00F31422" w:rsidTr="00AE379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2986" w:type="pct"/>
            <w:gridSpan w:val="5"/>
            <w:shd w:val="clear" w:color="auto" w:fill="auto"/>
          </w:tcPr>
          <w:p w:rsidR="00C601F2" w:rsidRPr="00F31422" w:rsidRDefault="00C601F2" w:rsidP="00C601F2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C601F2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C601F2" w:rsidRPr="00F31422" w:rsidRDefault="00C601F2" w:rsidP="00C601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92" w:type="pct"/>
            <w:shd w:val="clear" w:color="auto" w:fill="auto"/>
          </w:tcPr>
          <w:p w:rsidR="00C601F2" w:rsidRPr="000E7293" w:rsidRDefault="00C601F2" w:rsidP="00C60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</w:t>
            </w:r>
            <w:r w:rsidRPr="000E7293">
              <w:rPr>
                <w:sz w:val="24"/>
                <w:szCs w:val="24"/>
              </w:rPr>
              <w:lastRenderedPageBreak/>
              <w:t>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489" w:type="pct"/>
            <w:shd w:val="clear" w:color="auto" w:fill="auto"/>
          </w:tcPr>
          <w:p w:rsidR="00C601F2" w:rsidRPr="000E7293" w:rsidRDefault="00C601F2" w:rsidP="00C601F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834" w:type="pct"/>
            <w:shd w:val="clear" w:color="auto" w:fill="auto"/>
          </w:tcPr>
          <w:p w:rsidR="00C601F2" w:rsidRPr="00F31422" w:rsidRDefault="002F16EF" w:rsidP="00C601F2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Обслуживание и содержание кладбищ возложено на глав поселений. Реестры кладбищ и мест захоронений на них не ведутся. Организаций, </w:t>
            </w:r>
            <w:r w:rsidRPr="000E7293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 xml:space="preserve"> право на </w:t>
            </w:r>
            <w:r w:rsidRPr="000E7293">
              <w:rPr>
                <w:sz w:val="24"/>
                <w:szCs w:val="24"/>
              </w:rPr>
              <w:lastRenderedPageBreak/>
              <w:t>оказание услуг по организации похорон</w:t>
            </w:r>
            <w:r>
              <w:rPr>
                <w:sz w:val="24"/>
                <w:szCs w:val="24"/>
              </w:rPr>
              <w:t xml:space="preserve"> в районе нет.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601F2" w:rsidRPr="00F31422" w:rsidRDefault="00C601F2" w:rsidP="00C601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по </w:t>
            </w:r>
            <w:r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Pr="000E7293">
              <w:rPr>
                <w:sz w:val="24"/>
                <w:szCs w:val="24"/>
              </w:rPr>
              <w:br/>
              <w:t>Забайкальского края, Министерство жилищно-</w:t>
            </w:r>
            <w:r w:rsidRPr="000E7293">
              <w:rPr>
                <w:sz w:val="24"/>
                <w:szCs w:val="24"/>
              </w:rPr>
              <w:lastRenderedPageBreak/>
              <w:t>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2F16EF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2F16EF" w:rsidRDefault="002F16EF" w:rsidP="002F16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2.21.2</w:t>
            </w:r>
          </w:p>
        </w:tc>
        <w:tc>
          <w:tcPr>
            <w:tcW w:w="892" w:type="pct"/>
            <w:shd w:val="clear" w:color="auto" w:fill="auto"/>
          </w:tcPr>
          <w:p w:rsidR="002F16EF" w:rsidRPr="000E7293" w:rsidRDefault="002F16EF" w:rsidP="002F16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</w:t>
            </w:r>
            <w:r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похорон</w:t>
            </w:r>
          </w:p>
        </w:tc>
        <w:tc>
          <w:tcPr>
            <w:tcW w:w="489" w:type="pct"/>
            <w:shd w:val="clear" w:color="auto" w:fill="auto"/>
          </w:tcPr>
          <w:p w:rsidR="002F16EF" w:rsidRPr="000E7293" w:rsidRDefault="002F16EF" w:rsidP="002F16EF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834" w:type="pct"/>
            <w:shd w:val="clear" w:color="auto" w:fill="auto"/>
          </w:tcPr>
          <w:p w:rsidR="002F16EF" w:rsidRPr="00F31422" w:rsidRDefault="002F16EF" w:rsidP="002F16EF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Организаций, </w:t>
            </w:r>
            <w:r w:rsidRPr="000E7293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 xml:space="preserve"> право на оказание услуг по организации похорон</w:t>
            </w:r>
            <w:r>
              <w:rPr>
                <w:sz w:val="24"/>
                <w:szCs w:val="24"/>
              </w:rPr>
              <w:t xml:space="preserve"> в районе нет.</w:t>
            </w:r>
          </w:p>
        </w:tc>
        <w:tc>
          <w:tcPr>
            <w:tcW w:w="576" w:type="pct"/>
            <w:vMerge/>
            <w:shd w:val="clear" w:color="auto" w:fill="auto"/>
          </w:tcPr>
          <w:p w:rsidR="002F16EF" w:rsidRPr="00F31422" w:rsidRDefault="002F16EF" w:rsidP="002F16E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6EF" w:rsidRPr="00F31422" w:rsidTr="00C601F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3"/>
          <w:wAfter w:w="2014" w:type="pct"/>
          <w:trHeight w:val="567"/>
        </w:trPr>
        <w:tc>
          <w:tcPr>
            <w:tcW w:w="195" w:type="pct"/>
            <w:shd w:val="clear" w:color="auto" w:fill="auto"/>
          </w:tcPr>
          <w:p w:rsidR="002F16EF" w:rsidRDefault="002F16EF" w:rsidP="002F16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892" w:type="pct"/>
            <w:shd w:val="clear" w:color="auto" w:fill="auto"/>
          </w:tcPr>
          <w:p w:rsidR="002F16EF" w:rsidRPr="000E7293" w:rsidRDefault="002F16EF" w:rsidP="002F16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489" w:type="pct"/>
            <w:shd w:val="clear" w:color="auto" w:fill="auto"/>
          </w:tcPr>
          <w:p w:rsidR="002F16EF" w:rsidRPr="000E7293" w:rsidRDefault="002F16EF" w:rsidP="002F16EF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834" w:type="pct"/>
            <w:shd w:val="clear" w:color="auto" w:fill="auto"/>
          </w:tcPr>
          <w:p w:rsidR="002F16EF" w:rsidRPr="00F31422" w:rsidRDefault="002F16EF" w:rsidP="002F16E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2025 год)</w:t>
            </w:r>
          </w:p>
        </w:tc>
        <w:tc>
          <w:tcPr>
            <w:tcW w:w="576" w:type="pct"/>
            <w:shd w:val="clear" w:color="auto" w:fill="auto"/>
          </w:tcPr>
          <w:p w:rsidR="002F16EF" w:rsidRPr="000E7293" w:rsidRDefault="002F16EF" w:rsidP="002F16EF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r w:rsidRPr="000E7293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</w:t>
            </w:r>
            <w:proofErr w:type="spellEnd"/>
            <w:r w:rsidRPr="000E7293">
              <w:rPr>
                <w:sz w:val="24"/>
                <w:szCs w:val="24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EA" w:rsidRDefault="00203CEA" w:rsidP="00F6323A">
      <w:r>
        <w:separator/>
      </w:r>
    </w:p>
  </w:endnote>
  <w:endnote w:type="continuationSeparator" w:id="0">
    <w:p w:rsidR="00203CEA" w:rsidRDefault="00203CEA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EA" w:rsidRDefault="00203CEA" w:rsidP="00F6323A">
      <w:r>
        <w:separator/>
      </w:r>
    </w:p>
  </w:footnote>
  <w:footnote w:type="continuationSeparator" w:id="0">
    <w:p w:rsidR="00203CEA" w:rsidRDefault="00203CEA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82">
          <w:rPr>
            <w:noProof/>
          </w:rPr>
          <w:t>2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C7"/>
    <w:rsid w:val="00030DB0"/>
    <w:rsid w:val="0003491C"/>
    <w:rsid w:val="00045350"/>
    <w:rsid w:val="000B7310"/>
    <w:rsid w:val="000F2855"/>
    <w:rsid w:val="0012200D"/>
    <w:rsid w:val="00124F83"/>
    <w:rsid w:val="00126C73"/>
    <w:rsid w:val="0014474E"/>
    <w:rsid w:val="00164619"/>
    <w:rsid w:val="0017042C"/>
    <w:rsid w:val="001F4157"/>
    <w:rsid w:val="00203CEA"/>
    <w:rsid w:val="002E6DFE"/>
    <w:rsid w:val="002F1682"/>
    <w:rsid w:val="002F16EF"/>
    <w:rsid w:val="00330DBC"/>
    <w:rsid w:val="003808B9"/>
    <w:rsid w:val="003A72C4"/>
    <w:rsid w:val="003B4B4A"/>
    <w:rsid w:val="003E2FCD"/>
    <w:rsid w:val="003F78B8"/>
    <w:rsid w:val="0042478F"/>
    <w:rsid w:val="00504AA5"/>
    <w:rsid w:val="0058090F"/>
    <w:rsid w:val="00666945"/>
    <w:rsid w:val="0069359E"/>
    <w:rsid w:val="006E1131"/>
    <w:rsid w:val="006E40C9"/>
    <w:rsid w:val="006F63DC"/>
    <w:rsid w:val="0092673E"/>
    <w:rsid w:val="0095360B"/>
    <w:rsid w:val="009621AC"/>
    <w:rsid w:val="00A37435"/>
    <w:rsid w:val="00A71547"/>
    <w:rsid w:val="00AE379E"/>
    <w:rsid w:val="00B51075"/>
    <w:rsid w:val="00C10DCB"/>
    <w:rsid w:val="00C601F2"/>
    <w:rsid w:val="00C802B9"/>
    <w:rsid w:val="00CD22C7"/>
    <w:rsid w:val="00D240DA"/>
    <w:rsid w:val="00D5184C"/>
    <w:rsid w:val="00E32769"/>
    <w:rsid w:val="00E46C92"/>
    <w:rsid w:val="00E8449E"/>
    <w:rsid w:val="00EF5EA7"/>
    <w:rsid w:val="00F6323A"/>
    <w:rsid w:val="00F97613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C7FB-2008-423D-BB2C-6C815A4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d">
    <w:name w:val="Другое_"/>
    <w:basedOn w:val="a0"/>
    <w:link w:val="ae"/>
    <w:rsid w:val="0095360B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95360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spec6</cp:lastModifiedBy>
  <cp:revision>2</cp:revision>
  <cp:lastPrinted>2022-12-19T03:20:00Z</cp:lastPrinted>
  <dcterms:created xsi:type="dcterms:W3CDTF">2024-03-20T02:56:00Z</dcterms:created>
  <dcterms:modified xsi:type="dcterms:W3CDTF">2024-03-20T02:56:00Z</dcterms:modified>
</cp:coreProperties>
</file>