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AC" w:rsidRDefault="00696DAC" w:rsidP="004B3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23 мая 2006 года № 306 утвержден порядок установления и определения нормативов потребления коммунальных услуг.</w:t>
      </w:r>
    </w:p>
    <w:p w:rsidR="001440B2" w:rsidRDefault="001440B2" w:rsidP="001440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Нормативы потребления коммунальных услуг определяются с применением метода аналогов либо расчетного метода.</w:t>
      </w:r>
    </w:p>
    <w:p w:rsidR="001440B2" w:rsidRPr="001440B2" w:rsidRDefault="001440B2" w:rsidP="001440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0B2">
        <w:rPr>
          <w:rFonts w:ascii="Times New Roman" w:hAnsi="Times New Roman" w:cs="Times New Roman"/>
          <w:sz w:val="28"/>
          <w:szCs w:val="28"/>
        </w:rPr>
        <w:t>Метод аналогов</w:t>
      </w:r>
      <w:r w:rsidR="007C40FD">
        <w:rPr>
          <w:rFonts w:ascii="Times New Roman" w:hAnsi="Times New Roman" w:cs="Times New Roman"/>
          <w:sz w:val="28"/>
          <w:szCs w:val="28"/>
        </w:rPr>
        <w:t xml:space="preserve"> является основным и</w:t>
      </w:r>
      <w:r w:rsidRPr="001440B2">
        <w:rPr>
          <w:rFonts w:ascii="Times New Roman" w:hAnsi="Times New Roman" w:cs="Times New Roman"/>
          <w:sz w:val="28"/>
          <w:szCs w:val="28"/>
        </w:rPr>
        <w:t xml:space="preserve"> применяется при наличии сведений, полученных в результате измерений объема (количества) потребления коммунальных услуг приборами учета, установленными в многоквартирных домах или жилых домах с аналогичными конструктивными и техническими параметрами, степенью благоустройства многоквартирного дома или жилого дома и климатическими условиями.</w:t>
      </w:r>
      <w:proofErr w:type="gramEnd"/>
      <w:r w:rsidRPr="001440B2">
        <w:rPr>
          <w:rFonts w:ascii="Times New Roman" w:hAnsi="Times New Roman" w:cs="Times New Roman"/>
          <w:sz w:val="28"/>
          <w:szCs w:val="28"/>
        </w:rPr>
        <w:t xml:space="preserve"> Количество измерений должно отвечать условиям представительности выборки. </w:t>
      </w:r>
      <w:proofErr w:type="gramStart"/>
      <w:r w:rsidRPr="001440B2">
        <w:rPr>
          <w:rFonts w:ascii="Times New Roman" w:hAnsi="Times New Roman" w:cs="Times New Roman"/>
          <w:sz w:val="28"/>
          <w:szCs w:val="28"/>
        </w:rPr>
        <w:t>Представительность выборки определяется необходимым количеством многоквартирных домов или жилых домов,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в отношении всех многоквартирных домов или жилых домов с аналогичными конструктивными и техническими параметрами, степенью благоустройства многоквартирного дома или жилого дома и климатическими условиями.</w:t>
      </w:r>
      <w:proofErr w:type="gramEnd"/>
    </w:p>
    <w:p w:rsidR="001440B2" w:rsidRPr="001440B2" w:rsidRDefault="001440B2" w:rsidP="001440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0B2">
        <w:rPr>
          <w:rFonts w:ascii="Times New Roman" w:hAnsi="Times New Roman" w:cs="Times New Roman"/>
          <w:sz w:val="28"/>
          <w:szCs w:val="28"/>
        </w:rPr>
        <w:t>Указанный метод применяется, если в выбранных многоквартирных домах или жилых домах техническая эксплуатация внутридомовых инженерных систем соответствует правилам пользования жилыми помещениями и содержания общего имущества в многоквартирном доме, которые утверждаются Правительством Российской Федерации.</w:t>
      </w:r>
    </w:p>
    <w:p w:rsidR="001440B2" w:rsidRDefault="001440B2" w:rsidP="001440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40B2">
        <w:rPr>
          <w:rFonts w:ascii="Times New Roman" w:hAnsi="Times New Roman" w:cs="Times New Roman"/>
          <w:sz w:val="28"/>
          <w:szCs w:val="28"/>
        </w:rPr>
        <w:t>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домах, отвечающих условиям представительности выборки для проведения необходимых измерений.</w:t>
      </w:r>
    </w:p>
    <w:p w:rsidR="00CF153E" w:rsidRPr="00CF153E" w:rsidRDefault="00CF153E" w:rsidP="00CF15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я уже сказал, в</w:t>
      </w:r>
      <w:r w:rsidRPr="00CF153E">
        <w:rPr>
          <w:rFonts w:ascii="Times New Roman" w:hAnsi="Times New Roman" w:cs="Times New Roman"/>
          <w:sz w:val="28"/>
          <w:szCs w:val="28"/>
        </w:rPr>
        <w:t xml:space="preserve"> соответствии с п. 19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многоквартирных домах, утвержденных постановлением Правительства РФ от 23 мая 2006 года № 306, нормативы потребления коммунальных услуг определяются с применением метода аналогов либо расчетного метода.</w:t>
      </w:r>
      <w:proofErr w:type="gramEnd"/>
    </w:p>
    <w:p w:rsidR="00CF153E" w:rsidRPr="00CF153E" w:rsidRDefault="00CF153E" w:rsidP="00CF15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53E">
        <w:rPr>
          <w:rFonts w:ascii="Times New Roman" w:hAnsi="Times New Roman" w:cs="Times New Roman"/>
          <w:sz w:val="28"/>
          <w:szCs w:val="28"/>
        </w:rPr>
        <w:t>Пункт 21 указанных Правил определяет условия применения метода аналогов при установлении нормативов на коммунальные услуги.</w:t>
      </w:r>
    </w:p>
    <w:p w:rsidR="00CF153E" w:rsidRPr="00CF153E" w:rsidRDefault="00CF153E" w:rsidP="00CF15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Pr="00CF153E">
        <w:rPr>
          <w:rFonts w:ascii="Times New Roman" w:hAnsi="Times New Roman" w:cs="Times New Roman"/>
          <w:sz w:val="28"/>
          <w:szCs w:val="28"/>
        </w:rPr>
        <w:t xml:space="preserve"> целях выявления возможности установления норматива на услугу отопления в жилых помещениях с помощью применения указанного метода РСТ Забайкальского края 10 июня 2015 года № 03/2120 был  сделан запрос  в ПАО «ТГК-14» о предоставлении сведений, необходимых для определения и установления нормативов отопления методом аналогов.</w:t>
      </w:r>
    </w:p>
    <w:p w:rsidR="00CF153E" w:rsidRPr="00CF153E" w:rsidRDefault="00CF153E" w:rsidP="00CF15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53E">
        <w:rPr>
          <w:rFonts w:ascii="Times New Roman" w:hAnsi="Times New Roman" w:cs="Times New Roman"/>
          <w:sz w:val="28"/>
          <w:szCs w:val="28"/>
        </w:rPr>
        <w:lastRenderedPageBreak/>
        <w:t>Так, согласно представленным ПАО «ТГК-14» материалам (входящий № 3237 от 29.06.2015 года), на территории городского округа «Город Чита» приборами учета оборудован</w:t>
      </w:r>
      <w:r w:rsidRPr="00CF153E">
        <w:rPr>
          <w:rFonts w:ascii="Times New Roman" w:hAnsi="Times New Roman" w:cs="Times New Roman"/>
          <w:sz w:val="28"/>
          <w:szCs w:val="28"/>
        </w:rPr>
        <w:t xml:space="preserve"> </w:t>
      </w:r>
      <w:r w:rsidRPr="00CF153E">
        <w:rPr>
          <w:rFonts w:ascii="Times New Roman" w:hAnsi="Times New Roman" w:cs="Times New Roman"/>
          <w:sz w:val="28"/>
          <w:szCs w:val="28"/>
        </w:rPr>
        <w:t xml:space="preserve">571 жилой дом. </w:t>
      </w:r>
    </w:p>
    <w:p w:rsidR="00CF153E" w:rsidRPr="00CF153E" w:rsidRDefault="00CF153E" w:rsidP="00CF15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53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CF153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F153E">
        <w:rPr>
          <w:rFonts w:ascii="Times New Roman" w:hAnsi="Times New Roman" w:cs="Times New Roman"/>
          <w:sz w:val="28"/>
          <w:szCs w:val="28"/>
        </w:rPr>
        <w:t xml:space="preserve">. а п. 38 Правил при снятии показаний приборов учета для определения нормативов потребления коммунальных услуг фиксируются показания приборов учета по каждому виду коммунальных услуг или по каждому виду коммунального ресурса, учитываемого в составе коммунальной услуги. В городе Чите только в 99 домах оборудованных приборами учета ведется раздельный учет тепловой энергии для нужд отопления и горячего водоснабжения. </w:t>
      </w:r>
    </w:p>
    <w:p w:rsidR="00CF153E" w:rsidRPr="00CF153E" w:rsidRDefault="00041FE5" w:rsidP="00CF15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F153E" w:rsidRPr="00041FE5">
        <w:rPr>
          <w:rFonts w:ascii="Times New Roman" w:hAnsi="Times New Roman" w:cs="Times New Roman"/>
          <w:sz w:val="28"/>
          <w:szCs w:val="28"/>
          <w:highlight w:val="blue"/>
        </w:rPr>
        <w:t>17 июля 2015 года</w:t>
      </w:r>
      <w:r w:rsidR="00CF153E" w:rsidRPr="00CF153E">
        <w:rPr>
          <w:rFonts w:ascii="Times New Roman" w:hAnsi="Times New Roman" w:cs="Times New Roman"/>
          <w:sz w:val="28"/>
          <w:szCs w:val="28"/>
        </w:rPr>
        <w:t xml:space="preserve"> в адрес РСТ Забайкальского края поступило письмо ПАО «ТГК-14» (</w:t>
      </w:r>
      <w:proofErr w:type="spellStart"/>
      <w:r w:rsidR="00CF153E" w:rsidRPr="00CF153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CF153E" w:rsidRPr="00CF153E">
        <w:rPr>
          <w:rFonts w:ascii="Times New Roman" w:hAnsi="Times New Roman" w:cs="Times New Roman"/>
          <w:sz w:val="28"/>
          <w:szCs w:val="28"/>
        </w:rPr>
        <w:t>. № 3616 от 17.07.2015 г.), в котором говорится, что по</w:t>
      </w:r>
      <w:r>
        <w:rPr>
          <w:rFonts w:ascii="Times New Roman" w:hAnsi="Times New Roman" w:cs="Times New Roman"/>
          <w:sz w:val="28"/>
          <w:szCs w:val="28"/>
        </w:rPr>
        <w:t xml:space="preserve"> 3-м</w:t>
      </w:r>
      <w:r w:rsidR="00CF153E" w:rsidRPr="00CF153E">
        <w:rPr>
          <w:rFonts w:ascii="Times New Roman" w:hAnsi="Times New Roman" w:cs="Times New Roman"/>
          <w:sz w:val="28"/>
          <w:szCs w:val="28"/>
        </w:rPr>
        <w:t xml:space="preserve"> адресам </w:t>
      </w:r>
      <w:r w:rsidR="00CF153E" w:rsidRPr="00041FE5">
        <w:rPr>
          <w:rFonts w:ascii="Times New Roman" w:hAnsi="Times New Roman" w:cs="Times New Roman"/>
          <w:sz w:val="28"/>
          <w:szCs w:val="28"/>
          <w:highlight w:val="blue"/>
        </w:rPr>
        <w:t xml:space="preserve">ул. </w:t>
      </w:r>
      <w:proofErr w:type="spellStart"/>
      <w:r w:rsidR="00CF153E" w:rsidRPr="00041FE5">
        <w:rPr>
          <w:rFonts w:ascii="Times New Roman" w:hAnsi="Times New Roman" w:cs="Times New Roman"/>
          <w:sz w:val="28"/>
          <w:szCs w:val="28"/>
          <w:highlight w:val="blue"/>
        </w:rPr>
        <w:t>Ингодинская</w:t>
      </w:r>
      <w:proofErr w:type="spellEnd"/>
      <w:r w:rsidR="00CF153E" w:rsidRPr="00041FE5">
        <w:rPr>
          <w:rFonts w:ascii="Times New Roman" w:hAnsi="Times New Roman" w:cs="Times New Roman"/>
          <w:sz w:val="28"/>
          <w:szCs w:val="28"/>
          <w:highlight w:val="blue"/>
        </w:rPr>
        <w:t xml:space="preserve">, 28 «а», </w:t>
      </w:r>
      <w:proofErr w:type="spellStart"/>
      <w:r w:rsidR="00CF153E" w:rsidRPr="00041FE5">
        <w:rPr>
          <w:rFonts w:ascii="Times New Roman" w:hAnsi="Times New Roman" w:cs="Times New Roman"/>
          <w:sz w:val="28"/>
          <w:szCs w:val="28"/>
          <w:highlight w:val="blue"/>
        </w:rPr>
        <w:t>Ингодинская</w:t>
      </w:r>
      <w:proofErr w:type="spellEnd"/>
      <w:r w:rsidR="00CF153E" w:rsidRPr="00041FE5">
        <w:rPr>
          <w:rFonts w:ascii="Times New Roman" w:hAnsi="Times New Roman" w:cs="Times New Roman"/>
          <w:sz w:val="28"/>
          <w:szCs w:val="28"/>
          <w:highlight w:val="blue"/>
        </w:rPr>
        <w:t>, 29 «а», Шилова, 95 «а»</w:t>
      </w:r>
      <w:r w:rsidR="00CF153E" w:rsidRPr="00CF153E">
        <w:rPr>
          <w:rFonts w:ascii="Times New Roman" w:hAnsi="Times New Roman" w:cs="Times New Roman"/>
          <w:sz w:val="28"/>
          <w:szCs w:val="28"/>
        </w:rPr>
        <w:t xml:space="preserve"> находятся подземные автостоянки, в </w:t>
      </w:r>
      <w:proofErr w:type="gramStart"/>
      <w:r w:rsidR="00CF153E" w:rsidRPr="00CF153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CF153E" w:rsidRPr="00CF153E">
        <w:rPr>
          <w:rFonts w:ascii="Times New Roman" w:hAnsi="Times New Roman" w:cs="Times New Roman"/>
          <w:sz w:val="28"/>
          <w:szCs w:val="28"/>
        </w:rPr>
        <w:t xml:space="preserve"> с чем они не могут участвовать в репрезентативной выборке для определении норматива на отопление в жилых помещениях. </w:t>
      </w:r>
    </w:p>
    <w:p w:rsidR="00CF153E" w:rsidRPr="00CF153E" w:rsidRDefault="00CF153E" w:rsidP="00CF15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53E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CF153E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CF153E">
        <w:rPr>
          <w:rFonts w:ascii="Times New Roman" w:hAnsi="Times New Roman" w:cs="Times New Roman"/>
          <w:sz w:val="28"/>
          <w:szCs w:val="28"/>
        </w:rPr>
        <w:t xml:space="preserve">. 2 п. 33 Правил в представительную выборку не включаются многоквартирные дома, в которых имеются нежилые помещения, подключенные к общему вводу внутридомовых инженерных систем многоквартирного дома и не оборудованные индивидуальными приборами учета. В ходе анализа документов, представленных ПАО «ТГК-14» с целью </w:t>
      </w:r>
      <w:proofErr w:type="gramStart"/>
      <w:r w:rsidRPr="00CF153E">
        <w:rPr>
          <w:rFonts w:ascii="Times New Roman" w:hAnsi="Times New Roman" w:cs="Times New Roman"/>
          <w:sz w:val="28"/>
          <w:szCs w:val="28"/>
        </w:rPr>
        <w:t>определения возможности применения метода аналогов</w:t>
      </w:r>
      <w:proofErr w:type="gramEnd"/>
      <w:r w:rsidRPr="00CF153E">
        <w:rPr>
          <w:rFonts w:ascii="Times New Roman" w:hAnsi="Times New Roman" w:cs="Times New Roman"/>
          <w:sz w:val="28"/>
          <w:szCs w:val="28"/>
        </w:rPr>
        <w:t xml:space="preserve"> при установлении норматива на отопление на территории городского округа «Город Чита», РСТ Забайкальского края было установлено, что по направленным данным в 22 домах из указанных 96 домов расположены встроенные нежилые помещения, не оборудованные индивидуальными приборами учета. В целях обоснования указанной информации РСТ Забайкальского края были запрошены подтверждающие документы (исх. № 17.07.2015 г. № 05/2711).</w:t>
      </w:r>
    </w:p>
    <w:p w:rsidR="00CF153E" w:rsidRPr="00CF153E" w:rsidRDefault="00CF153E" w:rsidP="00CF15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53E">
        <w:rPr>
          <w:rFonts w:ascii="Times New Roman" w:hAnsi="Times New Roman" w:cs="Times New Roman"/>
          <w:sz w:val="28"/>
          <w:szCs w:val="28"/>
        </w:rPr>
        <w:t>Кроме предоставления актов обследования жилых многоквартирных домов с</w:t>
      </w:r>
      <w:r w:rsidR="00041FE5">
        <w:rPr>
          <w:rFonts w:ascii="Times New Roman" w:hAnsi="Times New Roman" w:cs="Times New Roman"/>
          <w:sz w:val="28"/>
          <w:szCs w:val="28"/>
        </w:rPr>
        <w:t>о</w:t>
      </w:r>
      <w:r w:rsidRPr="00CF153E">
        <w:rPr>
          <w:rFonts w:ascii="Times New Roman" w:hAnsi="Times New Roman" w:cs="Times New Roman"/>
          <w:sz w:val="28"/>
          <w:szCs w:val="28"/>
        </w:rPr>
        <w:t xml:space="preserve"> встроенными нежилыми помещениями, оборудованными общедомовыми приборами учёта тепловой энергии, в своём ответе от 30 июля 2015 года (</w:t>
      </w:r>
      <w:proofErr w:type="spellStart"/>
      <w:r w:rsidRPr="00CF153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CF153E">
        <w:rPr>
          <w:rFonts w:ascii="Times New Roman" w:hAnsi="Times New Roman" w:cs="Times New Roman"/>
          <w:sz w:val="28"/>
          <w:szCs w:val="28"/>
        </w:rPr>
        <w:t xml:space="preserve">. № 3885 от 04 августа 2015 года) ПАО «ТГК-14» указано, что жилые дома, расположенные по адресам ул. Фадеева, 34 и </w:t>
      </w:r>
      <w:proofErr w:type="spellStart"/>
      <w:r w:rsidRPr="00CF153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CF153E">
        <w:rPr>
          <w:rFonts w:ascii="Times New Roman" w:hAnsi="Times New Roman" w:cs="Times New Roman"/>
          <w:sz w:val="28"/>
          <w:szCs w:val="28"/>
        </w:rPr>
        <w:t xml:space="preserve">. Северный, 62, не </w:t>
      </w:r>
      <w:proofErr w:type="gramStart"/>
      <w:r w:rsidRPr="00CF153E"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 w:rsidRPr="00CF153E">
        <w:rPr>
          <w:rFonts w:ascii="Times New Roman" w:hAnsi="Times New Roman" w:cs="Times New Roman"/>
          <w:sz w:val="28"/>
          <w:szCs w:val="28"/>
        </w:rPr>
        <w:t xml:space="preserve"> приборами учёта и ошибочно включены в список домов с общедомовыми приборами учёта. Жилые дома, расположенные по ул. Промышленная, 107, и Шишкинская, 26 «а» при выгрузке данных из программного комплекса «1</w:t>
      </w:r>
      <w:proofErr w:type="gramStart"/>
      <w:r w:rsidRPr="00CF153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F153E">
        <w:rPr>
          <w:rFonts w:ascii="Times New Roman" w:hAnsi="Times New Roman" w:cs="Times New Roman"/>
          <w:sz w:val="28"/>
          <w:szCs w:val="28"/>
        </w:rPr>
        <w:t xml:space="preserve">»  были учтены дважды. </w:t>
      </w:r>
    </w:p>
    <w:p w:rsidR="00CF153E" w:rsidRPr="00CF153E" w:rsidRDefault="00CF153E" w:rsidP="00CF15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53E">
        <w:rPr>
          <w:rFonts w:ascii="Times New Roman" w:hAnsi="Times New Roman" w:cs="Times New Roman"/>
          <w:sz w:val="28"/>
          <w:szCs w:val="28"/>
        </w:rPr>
        <w:t xml:space="preserve">Из оставшихся в списке 92 домов, 54 жилых дома относятся к индивидуальной застройке, поэтому выделить группы с аналогичными конструктивными и техническими параметрами не представляется возможным. </w:t>
      </w:r>
    </w:p>
    <w:p w:rsidR="00CF153E" w:rsidRPr="00CF153E" w:rsidRDefault="00CF153E" w:rsidP="00CF15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53E">
        <w:rPr>
          <w:rFonts w:ascii="Times New Roman" w:hAnsi="Times New Roman" w:cs="Times New Roman"/>
          <w:sz w:val="28"/>
          <w:szCs w:val="28"/>
        </w:rPr>
        <w:t xml:space="preserve">Таким образом, для расчёта норматива на отопление в жилых помещениях могут быть использованы данные только по 38 домам. </w:t>
      </w:r>
    </w:p>
    <w:p w:rsidR="00CF153E" w:rsidRPr="00CF153E" w:rsidRDefault="00CF153E" w:rsidP="00CF15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153E" w:rsidRPr="00CF153E" w:rsidRDefault="00041FE5" w:rsidP="00CF15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Отмечу, что в</w:t>
      </w:r>
      <w:r w:rsidR="00CF153E" w:rsidRPr="00CF153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proofErr w:type="spellStart"/>
      <w:r w:rsidR="00CF153E" w:rsidRPr="00CF153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CF153E" w:rsidRPr="00CF153E">
        <w:rPr>
          <w:rFonts w:ascii="Times New Roman" w:hAnsi="Times New Roman" w:cs="Times New Roman"/>
          <w:sz w:val="28"/>
          <w:szCs w:val="28"/>
        </w:rPr>
        <w:t xml:space="preserve">. б п. 37 Правил показания приборов учета в отношении отопления </w:t>
      </w:r>
      <w:r w:rsidRPr="00CF153E">
        <w:rPr>
          <w:rFonts w:ascii="Times New Roman" w:hAnsi="Times New Roman" w:cs="Times New Roman"/>
          <w:sz w:val="28"/>
          <w:szCs w:val="28"/>
        </w:rPr>
        <w:t>снимаются</w:t>
      </w:r>
      <w:r w:rsidRPr="00CF153E">
        <w:rPr>
          <w:rFonts w:ascii="Times New Roman" w:hAnsi="Times New Roman" w:cs="Times New Roman"/>
          <w:sz w:val="28"/>
          <w:szCs w:val="28"/>
        </w:rPr>
        <w:t xml:space="preserve"> </w:t>
      </w:r>
      <w:r w:rsidR="00CF153E" w:rsidRPr="00CF153E">
        <w:rPr>
          <w:rFonts w:ascii="Times New Roman" w:hAnsi="Times New Roman" w:cs="Times New Roman"/>
          <w:sz w:val="28"/>
          <w:szCs w:val="28"/>
        </w:rPr>
        <w:t xml:space="preserve">первого и последнего числа отопительного периода. Согласно представленным актам первичного допуска в эксплуатацию узла учёта тепловой энергии по оставшимся 38 домам, приборы учета вводились в период </w:t>
      </w:r>
      <w:r w:rsidR="00CF153E" w:rsidRPr="00041FE5">
        <w:rPr>
          <w:rFonts w:ascii="Times New Roman" w:hAnsi="Times New Roman" w:cs="Times New Roman"/>
          <w:b/>
          <w:sz w:val="28"/>
          <w:szCs w:val="28"/>
        </w:rPr>
        <w:t>с октября 2014 года по июль 2015 года</w:t>
      </w:r>
      <w:r w:rsidR="00CF153E" w:rsidRPr="00CF153E">
        <w:rPr>
          <w:rFonts w:ascii="Times New Roman" w:hAnsi="Times New Roman" w:cs="Times New Roman"/>
          <w:sz w:val="28"/>
          <w:szCs w:val="28"/>
        </w:rPr>
        <w:t xml:space="preserve">. Соответственно, информация по показаниям приборов учёта необходимая для применения метода аналогов, на момент установления нормативов РСТ Забайкальского края отсутствовала. </w:t>
      </w:r>
    </w:p>
    <w:p w:rsidR="00CF153E" w:rsidRPr="00CF153E" w:rsidRDefault="00CF153E" w:rsidP="00CF15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53E">
        <w:rPr>
          <w:rFonts w:ascii="Times New Roman" w:hAnsi="Times New Roman" w:cs="Times New Roman"/>
          <w:sz w:val="28"/>
          <w:szCs w:val="28"/>
        </w:rPr>
        <w:t>В дополнение стоит отметить, что с учётом корректировок перечня домов, указанных ПАО «ТГК-14» в своём письме от 30 июля 2015 года (</w:t>
      </w:r>
      <w:proofErr w:type="spellStart"/>
      <w:r w:rsidRPr="00CF153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CF153E">
        <w:rPr>
          <w:rFonts w:ascii="Times New Roman" w:hAnsi="Times New Roman" w:cs="Times New Roman"/>
          <w:sz w:val="28"/>
          <w:szCs w:val="28"/>
        </w:rPr>
        <w:t>. № 3885 от 04 августа 2015 года), в 17 жилых домах из оставшихся 38 домов имеются встроенные нежилые помещения, попадающие под общедомовой прибор учёта, что подтверждается актами обследования жилых многоквартирных домов с встроенными нежилыми помещениями, оборудованными общедомовыми приборами учёта</w:t>
      </w:r>
      <w:proofErr w:type="gramEnd"/>
      <w:r w:rsidRPr="00CF153E">
        <w:rPr>
          <w:rFonts w:ascii="Times New Roman" w:hAnsi="Times New Roman" w:cs="Times New Roman"/>
          <w:sz w:val="28"/>
          <w:szCs w:val="28"/>
        </w:rPr>
        <w:t xml:space="preserve"> тепловой энергии.</w:t>
      </w:r>
    </w:p>
    <w:p w:rsidR="00CF153E" w:rsidRPr="00CF153E" w:rsidRDefault="00CF153E" w:rsidP="00CF15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53E">
        <w:rPr>
          <w:rFonts w:ascii="Times New Roman" w:hAnsi="Times New Roman" w:cs="Times New Roman"/>
          <w:sz w:val="28"/>
          <w:szCs w:val="28"/>
        </w:rPr>
        <w:t xml:space="preserve">Принимая во внимание вышеизложенные факты, РСТ Забайкальского края сделан вывод о невозможности применения при установлении и определении нормативов отопления метода аналогов, так как данные репрезентативной выборки отсутствуют. </w:t>
      </w:r>
    </w:p>
    <w:p w:rsidR="00CF153E" w:rsidRPr="00CF153E" w:rsidRDefault="00CF153E" w:rsidP="00CF15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53E">
        <w:rPr>
          <w:rFonts w:ascii="Times New Roman" w:hAnsi="Times New Roman" w:cs="Times New Roman"/>
          <w:sz w:val="28"/>
          <w:szCs w:val="28"/>
        </w:rPr>
        <w:t>В соответствии с п. 22 Правил, расчётный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домах, отвечающих условиям представительности выборки для проведения необходимых измерений.</w:t>
      </w:r>
    </w:p>
    <w:p w:rsidR="00CF153E" w:rsidRPr="00CF153E" w:rsidRDefault="00CF153E" w:rsidP="00CF15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53E">
        <w:rPr>
          <w:rFonts w:ascii="Times New Roman" w:hAnsi="Times New Roman" w:cs="Times New Roman"/>
          <w:sz w:val="28"/>
          <w:szCs w:val="28"/>
        </w:rPr>
        <w:t xml:space="preserve">Дополнительной причиной применения расчетного метода является соблюдение предельного индекса изменения размера платы граждан на территории городского округа «Город Чита». </w:t>
      </w:r>
      <w:r w:rsidR="00BC4DD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F153E">
        <w:rPr>
          <w:rFonts w:ascii="Times New Roman" w:hAnsi="Times New Roman" w:cs="Times New Roman"/>
          <w:sz w:val="28"/>
          <w:szCs w:val="28"/>
        </w:rPr>
        <w:t>расчет</w:t>
      </w:r>
      <w:r w:rsidR="00BC4DDB">
        <w:rPr>
          <w:rFonts w:ascii="Times New Roman" w:hAnsi="Times New Roman" w:cs="Times New Roman"/>
          <w:sz w:val="28"/>
          <w:szCs w:val="28"/>
        </w:rPr>
        <w:t>ам</w:t>
      </w:r>
      <w:r w:rsidRPr="00CF153E">
        <w:rPr>
          <w:rFonts w:ascii="Times New Roman" w:hAnsi="Times New Roman" w:cs="Times New Roman"/>
          <w:sz w:val="28"/>
          <w:szCs w:val="28"/>
        </w:rPr>
        <w:t xml:space="preserve"> для одноэтажных многоквартирных домов норматив составил 0,05748 Гкал/м</w:t>
      </w:r>
      <w:proofErr w:type="gramStart"/>
      <w:r w:rsidRPr="00CF153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F153E">
        <w:rPr>
          <w:rFonts w:ascii="Times New Roman" w:hAnsi="Times New Roman" w:cs="Times New Roman"/>
          <w:sz w:val="28"/>
          <w:szCs w:val="28"/>
        </w:rPr>
        <w:t xml:space="preserve"> в месяц, что на 175,8 % превышает действующий норматив, для двухэтажных - 0,05560 Гкал/м2 в месяц, что на 170,03 % превышает действующий норматив, трех-четырех этажные многоквартирные дома - 0,03574 Гкал/м2 в месяц, что на 109,30 % превышает действующий норматив, 5-9-ти этажные 0,03131 Гкал/м2 в месяц, что составляет 95,74 % от действующего норматива, для 10-ти и выше - 0,02938 Гкал/м</w:t>
      </w:r>
      <w:proofErr w:type="gramStart"/>
      <w:r w:rsidRPr="00CF153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F153E">
        <w:rPr>
          <w:rFonts w:ascii="Times New Roman" w:hAnsi="Times New Roman" w:cs="Times New Roman"/>
          <w:sz w:val="28"/>
          <w:szCs w:val="28"/>
        </w:rPr>
        <w:t xml:space="preserve"> в месяц, что составляет 89,84 % от действующего норматива (Таблица «Расчет расхода тепла на отопление 1 м2»).</w:t>
      </w:r>
    </w:p>
    <w:p w:rsidR="00CF153E" w:rsidRPr="00CF153E" w:rsidRDefault="00CF153E" w:rsidP="00CF15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53E">
        <w:rPr>
          <w:rFonts w:ascii="Times New Roman" w:hAnsi="Times New Roman" w:cs="Times New Roman"/>
          <w:sz w:val="28"/>
          <w:szCs w:val="28"/>
        </w:rPr>
        <w:t xml:space="preserve">В целях недопущения дополнительной нагрузки на граждан, проживающих в малоэтажных жилых домах, и соблюдения п. 10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РФ от 30 апреля 2014  года № 400 РСТ Забайкальского края был применен расчетный метод установления нормативов. </w:t>
      </w:r>
    </w:p>
    <w:p w:rsidR="00CF153E" w:rsidRPr="00CF153E" w:rsidRDefault="00CF153E" w:rsidP="00CF15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53E" w:rsidRDefault="00CF153E" w:rsidP="00CF15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53E">
        <w:rPr>
          <w:rFonts w:ascii="Times New Roman" w:hAnsi="Times New Roman" w:cs="Times New Roman"/>
          <w:sz w:val="28"/>
          <w:szCs w:val="28"/>
        </w:rPr>
        <w:t>Учитывая изложенное, а та</w:t>
      </w:r>
      <w:bookmarkStart w:id="0" w:name="_GoBack"/>
      <w:bookmarkEnd w:id="0"/>
      <w:r w:rsidRPr="00CF153E">
        <w:rPr>
          <w:rFonts w:ascii="Times New Roman" w:hAnsi="Times New Roman" w:cs="Times New Roman"/>
          <w:sz w:val="28"/>
          <w:szCs w:val="28"/>
        </w:rPr>
        <w:t>к же положения, которые прописаны в постановлении Правительства Российской Федерации от 17 декабря 2014 года № 1380 «О вопросах установления и определения нормативов потребления коммунальных услуг», о том, что органы государственной власти субъектов Российской Федерации вправе принять решение о поэтапном переходе к установлению единых на территории субъекта Российской Федерации нормативов потребления коммунальных услуг или отдельных муниципальных образований, расположенных</w:t>
      </w:r>
      <w:proofErr w:type="gramEnd"/>
      <w:r w:rsidRPr="00CF153E">
        <w:rPr>
          <w:rFonts w:ascii="Times New Roman" w:hAnsi="Times New Roman" w:cs="Times New Roman"/>
          <w:sz w:val="28"/>
          <w:szCs w:val="28"/>
        </w:rPr>
        <w:t xml:space="preserve"> на территории субъекта Российской Федерации, РСТ Забайкальского края считает утвержденный на территории городского округа «Город Чита» норматив отопления не противоречащим нормам действующего законодательства.</w:t>
      </w:r>
    </w:p>
    <w:p w:rsidR="00B85D37" w:rsidRDefault="00B85D37" w:rsidP="00197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норматива отопления на территории Сибирского Федерального округа</w:t>
      </w:r>
      <w:r w:rsidR="009123A2">
        <w:rPr>
          <w:rFonts w:ascii="Times New Roman" w:hAnsi="Times New Roman" w:cs="Times New Roman"/>
          <w:sz w:val="28"/>
          <w:szCs w:val="28"/>
        </w:rPr>
        <w:t>:</w:t>
      </w:r>
    </w:p>
    <w:p w:rsidR="009123A2" w:rsidRDefault="009123A2" w:rsidP="00197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  <w:gridCol w:w="4961"/>
      </w:tblGrid>
      <w:tr w:rsidR="006F2A0B" w:rsidTr="006F2A0B">
        <w:tc>
          <w:tcPr>
            <w:tcW w:w="5070" w:type="dxa"/>
            <w:vAlign w:val="center"/>
          </w:tcPr>
          <w:p w:rsidR="006F2A0B" w:rsidRDefault="006F2A0B" w:rsidP="006F2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</w:t>
            </w:r>
          </w:p>
        </w:tc>
        <w:tc>
          <w:tcPr>
            <w:tcW w:w="4961" w:type="dxa"/>
            <w:vAlign w:val="center"/>
          </w:tcPr>
          <w:p w:rsidR="006F2A0B" w:rsidRDefault="006F2A0B" w:rsidP="006F2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 отопления, Гкал/месяц на 1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расчета оказания услуги в течение отопительного периода </w:t>
            </w:r>
          </w:p>
          <w:p w:rsidR="006F2A0B" w:rsidRPr="006F2A0B" w:rsidRDefault="006F2A0B" w:rsidP="006F2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месяцев)</w:t>
            </w:r>
          </w:p>
        </w:tc>
      </w:tr>
      <w:tr w:rsidR="006F2A0B" w:rsidTr="006F2A0B">
        <w:tc>
          <w:tcPr>
            <w:tcW w:w="5070" w:type="dxa"/>
          </w:tcPr>
          <w:p w:rsidR="006F2A0B" w:rsidRDefault="006F2A0B" w:rsidP="00197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</w:t>
            </w:r>
          </w:p>
        </w:tc>
        <w:tc>
          <w:tcPr>
            <w:tcW w:w="4961" w:type="dxa"/>
          </w:tcPr>
          <w:p w:rsidR="006F2A0B" w:rsidRDefault="006F2A0B" w:rsidP="006F2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0,0327</w:t>
            </w:r>
          </w:p>
        </w:tc>
      </w:tr>
      <w:tr w:rsidR="006F2A0B" w:rsidTr="006F2A0B">
        <w:tc>
          <w:tcPr>
            <w:tcW w:w="5070" w:type="dxa"/>
          </w:tcPr>
          <w:p w:rsidR="006F2A0B" w:rsidRDefault="006F2A0B" w:rsidP="00197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4961" w:type="dxa"/>
          </w:tcPr>
          <w:p w:rsidR="006F2A0B" w:rsidRDefault="006F2A0B" w:rsidP="000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0,036</w:t>
            </w:r>
            <w:r w:rsidR="000B70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2A0B" w:rsidTr="006F2A0B">
        <w:tc>
          <w:tcPr>
            <w:tcW w:w="5070" w:type="dxa"/>
          </w:tcPr>
          <w:p w:rsidR="006F2A0B" w:rsidRDefault="006F2A0B" w:rsidP="00197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Улан-Удэ</w:t>
            </w:r>
          </w:p>
        </w:tc>
        <w:tc>
          <w:tcPr>
            <w:tcW w:w="4961" w:type="dxa"/>
          </w:tcPr>
          <w:p w:rsidR="006F2A0B" w:rsidRDefault="006F2A0B" w:rsidP="006F2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0,0311</w:t>
            </w:r>
          </w:p>
        </w:tc>
      </w:tr>
      <w:tr w:rsidR="006F2A0B" w:rsidTr="006F2A0B">
        <w:tc>
          <w:tcPr>
            <w:tcW w:w="5070" w:type="dxa"/>
          </w:tcPr>
          <w:p w:rsidR="006F2A0B" w:rsidRDefault="006F2A0B" w:rsidP="00197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Каменское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Бурятии</w:t>
            </w:r>
          </w:p>
        </w:tc>
        <w:tc>
          <w:tcPr>
            <w:tcW w:w="4961" w:type="dxa"/>
          </w:tcPr>
          <w:p w:rsidR="006F2A0B" w:rsidRDefault="006F2A0B" w:rsidP="006F2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0,0410</w:t>
            </w:r>
          </w:p>
        </w:tc>
      </w:tr>
      <w:tr w:rsidR="006F2A0B" w:rsidTr="006F2A0B">
        <w:tc>
          <w:tcPr>
            <w:tcW w:w="5070" w:type="dxa"/>
          </w:tcPr>
          <w:p w:rsidR="006F2A0B" w:rsidRDefault="006F2A0B" w:rsidP="00197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4961" w:type="dxa"/>
          </w:tcPr>
          <w:p w:rsidR="006F2A0B" w:rsidRDefault="006F2A0B" w:rsidP="006F2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0,0333</w:t>
            </w:r>
          </w:p>
        </w:tc>
      </w:tr>
      <w:tr w:rsidR="006F2A0B" w:rsidTr="006F2A0B">
        <w:tc>
          <w:tcPr>
            <w:tcW w:w="5070" w:type="dxa"/>
          </w:tcPr>
          <w:p w:rsidR="006F2A0B" w:rsidRDefault="006F2A0B" w:rsidP="00197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4961" w:type="dxa"/>
          </w:tcPr>
          <w:p w:rsidR="006F2A0B" w:rsidRDefault="006F2A0B" w:rsidP="006F2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0,0422</w:t>
            </w:r>
          </w:p>
        </w:tc>
      </w:tr>
      <w:tr w:rsidR="006F2A0B" w:rsidTr="006F2A0B">
        <w:tc>
          <w:tcPr>
            <w:tcW w:w="5070" w:type="dxa"/>
          </w:tcPr>
          <w:p w:rsidR="006F2A0B" w:rsidRDefault="006F2A0B" w:rsidP="00197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</w:t>
            </w:r>
          </w:p>
        </w:tc>
        <w:tc>
          <w:tcPr>
            <w:tcW w:w="4961" w:type="dxa"/>
          </w:tcPr>
          <w:p w:rsidR="006F2A0B" w:rsidRDefault="006F2A0B" w:rsidP="006F2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0,0311</w:t>
            </w:r>
          </w:p>
        </w:tc>
      </w:tr>
      <w:tr w:rsidR="006F2A0B" w:rsidTr="006F2A0B">
        <w:tc>
          <w:tcPr>
            <w:tcW w:w="5070" w:type="dxa"/>
          </w:tcPr>
          <w:p w:rsidR="006F2A0B" w:rsidRDefault="006F2A0B" w:rsidP="00197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  <w:tc>
          <w:tcPr>
            <w:tcW w:w="4961" w:type="dxa"/>
          </w:tcPr>
          <w:p w:rsidR="006F2A0B" w:rsidRDefault="006F2A0B" w:rsidP="006F2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0,0320</w:t>
            </w:r>
          </w:p>
        </w:tc>
      </w:tr>
      <w:tr w:rsidR="00C07C01" w:rsidTr="006F2A0B">
        <w:tc>
          <w:tcPr>
            <w:tcW w:w="5070" w:type="dxa"/>
          </w:tcPr>
          <w:p w:rsidR="00C07C01" w:rsidRDefault="00C07C01" w:rsidP="00197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4961" w:type="dxa"/>
          </w:tcPr>
          <w:p w:rsidR="00C07C01" w:rsidRDefault="00C07C01" w:rsidP="006F2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0,0325</w:t>
            </w:r>
          </w:p>
        </w:tc>
      </w:tr>
    </w:tbl>
    <w:p w:rsidR="009123A2" w:rsidRDefault="009123A2" w:rsidP="00197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7550" w:rsidRDefault="00567550" w:rsidP="00465B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Региональной службы по тарифам и ценообразованию Забайкальского края:</w:t>
      </w:r>
    </w:p>
    <w:p w:rsidR="00F8107A" w:rsidRPr="00465BB7" w:rsidRDefault="00F8107A" w:rsidP="00465B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65BB7" w:rsidRPr="00F8107A" w:rsidRDefault="00F8107A" w:rsidP="00F8107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107A">
        <w:rPr>
          <w:rFonts w:ascii="Times New Roman" w:hAnsi="Times New Roman" w:cs="Times New Roman"/>
          <w:sz w:val="28"/>
          <w:szCs w:val="28"/>
        </w:rPr>
        <w:t>Установка общедомовых приборов учета в многоквартирных жилых домах с дальнейшим регулированием теплового потребления.</w:t>
      </w:r>
    </w:p>
    <w:p w:rsidR="00F8107A" w:rsidRPr="00F8107A" w:rsidRDefault="00F8107A" w:rsidP="00F8107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107A">
        <w:rPr>
          <w:rFonts w:ascii="Times New Roman" w:hAnsi="Times New Roman" w:cs="Times New Roman"/>
          <w:sz w:val="28"/>
          <w:szCs w:val="28"/>
        </w:rPr>
        <w:t>Выступление с инициативой о пересмотре действующей методики расчета размера платы за оказание коммунальной услуги теплоснабжения и  вернуться к прежней схеме определения объемов потребления тепла в рассматриваемых помещениях: исходя из показаний индивидуальных приборов учета, либо, в случае их отсутствия, – использовать расчетный способ определения расхода тепла для нужд отопления.</w:t>
      </w:r>
    </w:p>
    <w:p w:rsidR="00F8107A" w:rsidRPr="00F8107A" w:rsidRDefault="00F8107A" w:rsidP="00F8107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107A">
        <w:rPr>
          <w:rFonts w:ascii="Times New Roman" w:hAnsi="Times New Roman" w:cs="Times New Roman"/>
          <w:sz w:val="28"/>
          <w:szCs w:val="28"/>
        </w:rPr>
        <w:t>Создание рабочей группы по рассмотрению  в индивидуальном порядке жалоб предпринимателей с детальным анализом начислений и объемов потребления.</w:t>
      </w:r>
    </w:p>
    <w:p w:rsidR="00E378C9" w:rsidRPr="00EF4BB3" w:rsidRDefault="00F8107A" w:rsidP="00D17D0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4BB3">
        <w:rPr>
          <w:rFonts w:ascii="Times New Roman" w:hAnsi="Times New Roman" w:cs="Times New Roman"/>
          <w:sz w:val="28"/>
          <w:szCs w:val="28"/>
        </w:rPr>
        <w:t>Корректировка ПАО «ТГК-14» объемов потребления тепловой энергии исходя из базового показателя - значения тепловой нагрузки, указанного в договоре теплоснабжения (п. 116 постановления Правительства Российской Федерации от 18 ноября 2013 года № 1034 «О коммерческом учете тепловой энергии, теплоносителя»)</w:t>
      </w:r>
      <w:proofErr w:type="gramStart"/>
      <w:r w:rsidR="003A6EE0" w:rsidRPr="00EF4BB3">
        <w:rPr>
          <w:rFonts w:ascii="Times New Roman" w:hAnsi="Times New Roman" w:cs="Times New Roman"/>
          <w:sz w:val="28"/>
          <w:szCs w:val="28"/>
        </w:rPr>
        <w:t>.</w:t>
      </w:r>
      <w:r w:rsidR="00E378C9" w:rsidRPr="00EF4B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378C9" w:rsidRPr="00EF4BB3">
        <w:rPr>
          <w:rFonts w:ascii="Times New Roman" w:hAnsi="Times New Roman" w:cs="Times New Roman"/>
          <w:sz w:val="28"/>
          <w:szCs w:val="28"/>
        </w:rPr>
        <w:t>пасибо за внимание!</w:t>
      </w:r>
    </w:p>
    <w:sectPr w:rsidR="00E378C9" w:rsidRPr="00EF4BB3" w:rsidSect="003977C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F3D"/>
    <w:multiLevelType w:val="hybridMultilevel"/>
    <w:tmpl w:val="F2286E6A"/>
    <w:lvl w:ilvl="0" w:tplc="6EC2A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DC9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7C8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369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7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864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8E0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A80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7A8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4D000C"/>
    <w:multiLevelType w:val="hybridMultilevel"/>
    <w:tmpl w:val="B6C64B7E"/>
    <w:lvl w:ilvl="0" w:tplc="B4500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B5499"/>
    <w:multiLevelType w:val="hybridMultilevel"/>
    <w:tmpl w:val="8318BED0"/>
    <w:lvl w:ilvl="0" w:tplc="E67E1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A8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8D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20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02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2F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44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C9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1E5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680ED5"/>
    <w:multiLevelType w:val="hybridMultilevel"/>
    <w:tmpl w:val="B0785ABC"/>
    <w:lvl w:ilvl="0" w:tplc="9DD802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550BC0"/>
    <w:multiLevelType w:val="hybridMultilevel"/>
    <w:tmpl w:val="4BC2D5FE"/>
    <w:lvl w:ilvl="0" w:tplc="795A0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7D3748"/>
    <w:multiLevelType w:val="hybridMultilevel"/>
    <w:tmpl w:val="4BC2D5FE"/>
    <w:lvl w:ilvl="0" w:tplc="795A0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21"/>
    <w:rsid w:val="000251CB"/>
    <w:rsid w:val="00041FE5"/>
    <w:rsid w:val="00047C89"/>
    <w:rsid w:val="00077E07"/>
    <w:rsid w:val="00087775"/>
    <w:rsid w:val="000A5058"/>
    <w:rsid w:val="000B4336"/>
    <w:rsid w:val="000B7033"/>
    <w:rsid w:val="000E3E5E"/>
    <w:rsid w:val="000F3D63"/>
    <w:rsid w:val="00114C22"/>
    <w:rsid w:val="001440B2"/>
    <w:rsid w:val="00146FE7"/>
    <w:rsid w:val="00174C7C"/>
    <w:rsid w:val="0019735C"/>
    <w:rsid w:val="00203F8B"/>
    <w:rsid w:val="002B1B36"/>
    <w:rsid w:val="002D5E30"/>
    <w:rsid w:val="003763FB"/>
    <w:rsid w:val="00386BD5"/>
    <w:rsid w:val="00397C96"/>
    <w:rsid w:val="003A6EE0"/>
    <w:rsid w:val="003E36EA"/>
    <w:rsid w:val="003F23EF"/>
    <w:rsid w:val="00414571"/>
    <w:rsid w:val="00437D7A"/>
    <w:rsid w:val="00465BB7"/>
    <w:rsid w:val="00497C07"/>
    <w:rsid w:val="004B3021"/>
    <w:rsid w:val="004D0931"/>
    <w:rsid w:val="00560F16"/>
    <w:rsid w:val="00563DB6"/>
    <w:rsid w:val="00567550"/>
    <w:rsid w:val="00580EB7"/>
    <w:rsid w:val="005B7557"/>
    <w:rsid w:val="00632FF5"/>
    <w:rsid w:val="00650118"/>
    <w:rsid w:val="00696DAC"/>
    <w:rsid w:val="006F2A0B"/>
    <w:rsid w:val="00743398"/>
    <w:rsid w:val="007A48D9"/>
    <w:rsid w:val="007C40FD"/>
    <w:rsid w:val="008965A1"/>
    <w:rsid w:val="009123A2"/>
    <w:rsid w:val="00980B8E"/>
    <w:rsid w:val="00A2628A"/>
    <w:rsid w:val="00A92272"/>
    <w:rsid w:val="00AF14D9"/>
    <w:rsid w:val="00B62835"/>
    <w:rsid w:val="00B85D37"/>
    <w:rsid w:val="00BC4DDB"/>
    <w:rsid w:val="00C07C01"/>
    <w:rsid w:val="00C243A9"/>
    <w:rsid w:val="00C45D12"/>
    <w:rsid w:val="00C60590"/>
    <w:rsid w:val="00C96227"/>
    <w:rsid w:val="00C97277"/>
    <w:rsid w:val="00CA5C0C"/>
    <w:rsid w:val="00CB7D74"/>
    <w:rsid w:val="00CD0E96"/>
    <w:rsid w:val="00CE7157"/>
    <w:rsid w:val="00CF153E"/>
    <w:rsid w:val="00D11EA8"/>
    <w:rsid w:val="00D17D0B"/>
    <w:rsid w:val="00D47732"/>
    <w:rsid w:val="00DF3F27"/>
    <w:rsid w:val="00E026C6"/>
    <w:rsid w:val="00E378C9"/>
    <w:rsid w:val="00E514A9"/>
    <w:rsid w:val="00E61B12"/>
    <w:rsid w:val="00E64A45"/>
    <w:rsid w:val="00E91DB8"/>
    <w:rsid w:val="00EF4BB3"/>
    <w:rsid w:val="00F8107A"/>
    <w:rsid w:val="00F9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B30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02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C243A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A4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12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B30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02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C243A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A4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12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94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03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660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49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45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78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6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53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62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82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41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49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26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41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Тузов Александр Владимирович </cp:lastModifiedBy>
  <cp:revision>2</cp:revision>
  <cp:lastPrinted>2017-06-22T07:50:00Z</cp:lastPrinted>
  <dcterms:created xsi:type="dcterms:W3CDTF">2017-06-22T08:11:00Z</dcterms:created>
  <dcterms:modified xsi:type="dcterms:W3CDTF">2017-06-22T08:11:00Z</dcterms:modified>
</cp:coreProperties>
</file>