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28" w:rsidRDefault="000F39B7" w:rsidP="000F39B7">
      <w:pPr>
        <w:jc w:val="center"/>
      </w:pPr>
      <w:r w:rsidRPr="00EE487D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5pt;height:1in" o:ole="" fillcolor="window">
            <v:imagedata r:id="rId9" o:title=""/>
          </v:shape>
          <o:OLEObject Type="Embed" ProgID="Word.Picture.8" ShapeID="_x0000_i1025" DrawAspect="Content" ObjectID="_1639211580" r:id="rId10"/>
        </w:object>
      </w:r>
    </w:p>
    <w:p w:rsidR="00607628" w:rsidRPr="00575265" w:rsidRDefault="00607628" w:rsidP="00607628">
      <w:pPr>
        <w:rPr>
          <w:sz w:val="8"/>
          <w:szCs w:val="8"/>
        </w:rPr>
      </w:pPr>
    </w:p>
    <w:p w:rsidR="00607628" w:rsidRPr="00E92249" w:rsidRDefault="00607628" w:rsidP="00607628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607628" w:rsidRPr="005343B3" w:rsidRDefault="00607628" w:rsidP="00607628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607628" w:rsidRDefault="00607628" w:rsidP="00AE0608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40439">
        <w:rPr>
          <w:bCs/>
          <w:spacing w:val="-14"/>
          <w:sz w:val="32"/>
          <w:szCs w:val="32"/>
        </w:rPr>
        <w:t>ПРИКАЗ</w:t>
      </w:r>
    </w:p>
    <w:p w:rsidR="00607628" w:rsidRPr="00790F85" w:rsidRDefault="00A930F7" w:rsidP="00DF6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27</w:t>
      </w:r>
      <w:r w:rsidR="007E450B">
        <w:rPr>
          <w:bCs/>
          <w:sz w:val="28"/>
        </w:rPr>
        <w:t xml:space="preserve"> </w:t>
      </w:r>
      <w:r w:rsidR="00607628" w:rsidRPr="00790F85">
        <w:rPr>
          <w:bCs/>
          <w:sz w:val="28"/>
        </w:rPr>
        <w:t xml:space="preserve">декабря </w:t>
      </w:r>
      <w:r w:rsidR="000C6DAF">
        <w:rPr>
          <w:bCs/>
          <w:sz w:val="28"/>
        </w:rPr>
        <w:t>2019</w:t>
      </w:r>
      <w:r w:rsidR="00607628" w:rsidRPr="00790F85">
        <w:rPr>
          <w:bCs/>
          <w:sz w:val="28"/>
        </w:rPr>
        <w:t xml:space="preserve"> года              </w:t>
      </w:r>
      <w:r w:rsidR="00AE0608">
        <w:rPr>
          <w:bCs/>
          <w:sz w:val="28"/>
        </w:rPr>
        <w:t xml:space="preserve">                               </w:t>
      </w:r>
      <w:r w:rsidR="00DF6700">
        <w:rPr>
          <w:bCs/>
          <w:sz w:val="28"/>
        </w:rPr>
        <w:t xml:space="preserve">                    </w:t>
      </w:r>
      <w:r w:rsidR="001C09F2">
        <w:rPr>
          <w:bCs/>
          <w:sz w:val="28"/>
        </w:rPr>
        <w:t xml:space="preserve"> </w:t>
      </w:r>
      <w:r w:rsidR="00DF6700">
        <w:rPr>
          <w:bCs/>
          <w:sz w:val="28"/>
        </w:rPr>
        <w:t xml:space="preserve">      </w:t>
      </w:r>
      <w:r w:rsidR="00607628" w:rsidRPr="00790F85">
        <w:rPr>
          <w:bCs/>
          <w:sz w:val="28"/>
        </w:rPr>
        <w:t xml:space="preserve">    №</w:t>
      </w:r>
      <w:r w:rsidR="007E450B">
        <w:rPr>
          <w:bCs/>
          <w:sz w:val="28"/>
        </w:rPr>
        <w:t xml:space="preserve"> </w:t>
      </w:r>
      <w:r w:rsidR="001C09F2">
        <w:rPr>
          <w:bCs/>
          <w:sz w:val="28"/>
        </w:rPr>
        <w:t>662</w:t>
      </w:r>
      <w:r w:rsidR="00C62E0A">
        <w:rPr>
          <w:bCs/>
          <w:sz w:val="28"/>
        </w:rPr>
        <w:t>-</w:t>
      </w:r>
      <w:r w:rsidR="000F39B7">
        <w:rPr>
          <w:bCs/>
          <w:sz w:val="28"/>
        </w:rPr>
        <w:t>НПА</w:t>
      </w:r>
    </w:p>
    <w:p w:rsidR="00607628" w:rsidRPr="00792378" w:rsidRDefault="00607628" w:rsidP="00AE0608">
      <w:pPr>
        <w:pStyle w:val="ac"/>
        <w:spacing w:after="0"/>
        <w:ind w:left="0"/>
        <w:jc w:val="center"/>
        <w:rPr>
          <w:bCs/>
          <w:sz w:val="32"/>
          <w:szCs w:val="32"/>
        </w:rPr>
      </w:pPr>
      <w:r w:rsidRPr="00792378">
        <w:rPr>
          <w:bCs/>
          <w:sz w:val="32"/>
          <w:szCs w:val="32"/>
        </w:rPr>
        <w:t>г. Чита</w:t>
      </w:r>
    </w:p>
    <w:p w:rsidR="00AE0608" w:rsidRDefault="00AE0608" w:rsidP="00DF25DA">
      <w:pPr>
        <w:ind w:left="-284"/>
        <w:jc w:val="both"/>
        <w:rPr>
          <w:b/>
          <w:sz w:val="28"/>
        </w:rPr>
      </w:pPr>
    </w:p>
    <w:p w:rsidR="00A72DFF" w:rsidRDefault="00A72DFF" w:rsidP="000F39B7">
      <w:pPr>
        <w:tabs>
          <w:tab w:val="left" w:pos="6521"/>
        </w:tabs>
        <w:ind w:right="-2"/>
        <w:jc w:val="both"/>
        <w:rPr>
          <w:b/>
          <w:sz w:val="28"/>
        </w:rPr>
      </w:pPr>
      <w:r>
        <w:rPr>
          <w:b/>
          <w:sz w:val="28"/>
        </w:rPr>
        <w:t>Об уст</w:t>
      </w:r>
      <w:bookmarkStart w:id="0" w:name="_GoBack"/>
      <w:bookmarkEnd w:id="0"/>
      <w:r>
        <w:rPr>
          <w:b/>
          <w:sz w:val="28"/>
        </w:rPr>
        <w:t xml:space="preserve">ановлении единых (котловых) тарифов на услуги по передаче электрической энергии по сетям на территории Забайкальского края на </w:t>
      </w:r>
      <w:r w:rsidR="000C6DAF">
        <w:rPr>
          <w:b/>
          <w:sz w:val="28"/>
        </w:rPr>
        <w:t>2020</w:t>
      </w:r>
      <w:r>
        <w:rPr>
          <w:b/>
          <w:sz w:val="28"/>
        </w:rPr>
        <w:t xml:space="preserve"> год</w:t>
      </w:r>
    </w:p>
    <w:p w:rsidR="00CA7DE5" w:rsidRDefault="00CA7DE5" w:rsidP="000F39B7">
      <w:pPr>
        <w:ind w:right="-2"/>
        <w:rPr>
          <w:sz w:val="28"/>
        </w:rPr>
      </w:pPr>
    </w:p>
    <w:p w:rsidR="0063561E" w:rsidRDefault="0063561E" w:rsidP="000F39B7">
      <w:pPr>
        <w:pStyle w:val="21"/>
        <w:ind w:left="0" w:right="-2" w:firstLine="992"/>
        <w:rPr>
          <w:b/>
        </w:rPr>
      </w:pPr>
      <w:r w:rsidRPr="00D2154B">
        <w:t xml:space="preserve">В соответствии </w:t>
      </w:r>
      <w:r w:rsidR="00135041">
        <w:t xml:space="preserve">с </w:t>
      </w:r>
      <w:r w:rsidR="00135041" w:rsidRPr="00452A8D">
        <w:t xml:space="preserve">Федеральным законом от </w:t>
      </w:r>
      <w:r w:rsidR="00187934">
        <w:t>26 марта 2003 года</w:t>
      </w:r>
      <w:r w:rsidR="00187934">
        <w:br/>
      </w:r>
      <w:r w:rsidR="00135041">
        <w:t>№ 35-ФЗ «Об электроэнергетике», 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</w:t>
      </w:r>
      <w:r w:rsidR="00AC0C61">
        <w:rPr>
          <w:szCs w:val="28"/>
        </w:rPr>
        <w:t>,</w:t>
      </w:r>
      <w:r w:rsidR="00AC0C61">
        <w:t xml:space="preserve"> </w:t>
      </w:r>
      <w:r w:rsidR="00CF4619" w:rsidRPr="00505C2C">
        <w:rPr>
          <w:szCs w:val="28"/>
        </w:rPr>
        <w:t>приказом Ф</w:t>
      </w:r>
      <w:r w:rsidR="00CF4619">
        <w:rPr>
          <w:szCs w:val="28"/>
        </w:rPr>
        <w:t xml:space="preserve">едеральной антимонопольной службы </w:t>
      </w:r>
      <w:r w:rsidR="00CF4619" w:rsidRPr="00505C2C">
        <w:rPr>
          <w:szCs w:val="28"/>
        </w:rPr>
        <w:t xml:space="preserve">от </w:t>
      </w:r>
      <w:r w:rsidR="000C6DAF">
        <w:rPr>
          <w:szCs w:val="28"/>
        </w:rPr>
        <w:t>28</w:t>
      </w:r>
      <w:r w:rsidR="00CF4619" w:rsidRPr="00505C2C">
        <w:rPr>
          <w:szCs w:val="28"/>
        </w:rPr>
        <w:t xml:space="preserve"> </w:t>
      </w:r>
      <w:r w:rsidR="000C6DAF">
        <w:rPr>
          <w:szCs w:val="28"/>
        </w:rPr>
        <w:t>ноября</w:t>
      </w:r>
      <w:r w:rsidR="00CF4619" w:rsidRPr="00505C2C">
        <w:rPr>
          <w:szCs w:val="28"/>
        </w:rPr>
        <w:t xml:space="preserve"> </w:t>
      </w:r>
      <w:r w:rsidR="000C6DAF">
        <w:rPr>
          <w:szCs w:val="28"/>
        </w:rPr>
        <w:t>2019</w:t>
      </w:r>
      <w:r w:rsidR="00CF4619" w:rsidRPr="00505C2C">
        <w:rPr>
          <w:szCs w:val="28"/>
        </w:rPr>
        <w:t xml:space="preserve"> года </w:t>
      </w:r>
      <w:r w:rsidR="00DF6700">
        <w:rPr>
          <w:szCs w:val="28"/>
        </w:rPr>
        <w:br/>
      </w:r>
      <w:r w:rsidR="00CF4619" w:rsidRPr="00505C2C">
        <w:rPr>
          <w:szCs w:val="28"/>
        </w:rPr>
        <w:t>№ 873/18-ДСП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2019 год»</w:t>
      </w:r>
      <w:r w:rsidR="00A72DFF" w:rsidRPr="00B07C74">
        <w:rPr>
          <w:szCs w:val="28"/>
        </w:rPr>
        <w:t xml:space="preserve">, </w:t>
      </w:r>
      <w:r w:rsidR="000D59EC">
        <w:t>Положени</w:t>
      </w:r>
      <w:r w:rsidR="00A72DFF">
        <w:t>ем</w:t>
      </w:r>
      <w:r w:rsidR="000D59EC">
        <w:t xml:space="preserve"> </w:t>
      </w:r>
      <w:r w:rsidR="000D59EC" w:rsidRPr="00463D37">
        <w:rPr>
          <w:szCs w:val="28"/>
        </w:rPr>
        <w:t>о Региональной службе по тарифам и ценообразованию Забайкальского края</w:t>
      </w:r>
      <w:r w:rsidR="000D59EC">
        <w:rPr>
          <w:szCs w:val="28"/>
        </w:rPr>
        <w:t xml:space="preserve">, </w:t>
      </w:r>
      <w:r w:rsidR="000D59EC" w:rsidRPr="005F6507">
        <w:t>утвержденн</w:t>
      </w:r>
      <w:r w:rsidR="00AE0608">
        <w:t>ым</w:t>
      </w:r>
      <w:r w:rsidR="000D59EC" w:rsidRPr="005F6507">
        <w:t xml:space="preserve"> постановлением Правительства Забайкальского кра</w:t>
      </w:r>
      <w:r w:rsidR="00D22268">
        <w:t>я от</w:t>
      </w:r>
      <w:r w:rsidR="00377B40">
        <w:t xml:space="preserve"> </w:t>
      </w:r>
      <w:r w:rsidR="00187934">
        <w:t>16</w:t>
      </w:r>
      <w:r w:rsidR="0036466C">
        <w:t xml:space="preserve"> </w:t>
      </w:r>
      <w:r w:rsidR="00187934">
        <w:t>мая</w:t>
      </w:r>
      <w:r w:rsidR="0036466C">
        <w:t xml:space="preserve"> 201</w:t>
      </w:r>
      <w:r w:rsidR="00187934">
        <w:t>7</w:t>
      </w:r>
      <w:r w:rsidR="0036466C">
        <w:t xml:space="preserve"> года</w:t>
      </w:r>
      <w:r w:rsidR="00B07C74">
        <w:t xml:space="preserve"> </w:t>
      </w:r>
      <w:r w:rsidR="00A1590B">
        <w:t xml:space="preserve">№ </w:t>
      </w:r>
      <w:r w:rsidR="00187934">
        <w:t>196</w:t>
      </w:r>
      <w:r w:rsidR="007D35EE">
        <w:t>,</w:t>
      </w:r>
      <w:r w:rsidR="00A54F61">
        <w:t xml:space="preserve"> </w:t>
      </w:r>
      <w:r w:rsidR="00CB350D">
        <w:t>на основании</w:t>
      </w:r>
      <w:r w:rsidR="00EF4B0F">
        <w:t xml:space="preserve"> </w:t>
      </w:r>
      <w:r w:rsidR="00A72DFF">
        <w:t>заключения</w:t>
      </w:r>
      <w:r w:rsidR="00EF4B0F">
        <w:t xml:space="preserve"> и</w:t>
      </w:r>
      <w:r w:rsidR="00CB350D">
        <w:t xml:space="preserve"> решения Правления</w:t>
      </w:r>
      <w:r w:rsidR="00183AE1">
        <w:t xml:space="preserve"> Региональной службы по тарифам и ценообразованию Забайкальского края</w:t>
      </w:r>
      <w:r w:rsidR="00A1590B">
        <w:t xml:space="preserve"> </w:t>
      </w:r>
      <w:r w:rsidRPr="00E97E67">
        <w:rPr>
          <w:b/>
          <w:spacing w:val="20"/>
        </w:rPr>
        <w:t>п</w:t>
      </w:r>
      <w:r>
        <w:rPr>
          <w:b/>
          <w:spacing w:val="20"/>
        </w:rPr>
        <w:t> </w:t>
      </w:r>
      <w:r w:rsidRPr="00E97E67">
        <w:rPr>
          <w:b/>
          <w:spacing w:val="20"/>
        </w:rPr>
        <w:t>р</w:t>
      </w:r>
      <w:r>
        <w:rPr>
          <w:b/>
          <w:spacing w:val="20"/>
        </w:rPr>
        <w:t> </w:t>
      </w:r>
      <w:r w:rsidRPr="00E97E67">
        <w:rPr>
          <w:b/>
          <w:spacing w:val="20"/>
        </w:rPr>
        <w:t>и</w:t>
      </w:r>
      <w:r>
        <w:rPr>
          <w:b/>
          <w:spacing w:val="20"/>
        </w:rPr>
        <w:t> </w:t>
      </w:r>
      <w:r w:rsidRPr="00E97E67">
        <w:rPr>
          <w:b/>
          <w:spacing w:val="20"/>
        </w:rPr>
        <w:t>к</w:t>
      </w:r>
      <w:r>
        <w:rPr>
          <w:b/>
          <w:spacing w:val="20"/>
        </w:rPr>
        <w:t> </w:t>
      </w:r>
      <w:r w:rsidRPr="00E97E67">
        <w:rPr>
          <w:b/>
          <w:spacing w:val="20"/>
        </w:rPr>
        <w:t>а</w:t>
      </w:r>
      <w:r>
        <w:rPr>
          <w:b/>
          <w:spacing w:val="20"/>
        </w:rPr>
        <w:t> </w:t>
      </w:r>
      <w:r w:rsidRPr="00E97E67">
        <w:rPr>
          <w:b/>
          <w:spacing w:val="20"/>
        </w:rPr>
        <w:t>з</w:t>
      </w:r>
      <w:r>
        <w:rPr>
          <w:b/>
          <w:spacing w:val="20"/>
        </w:rPr>
        <w:t> </w:t>
      </w:r>
      <w:r w:rsidRPr="00E97E67">
        <w:rPr>
          <w:b/>
          <w:spacing w:val="20"/>
        </w:rPr>
        <w:t>ы</w:t>
      </w:r>
      <w:r>
        <w:rPr>
          <w:b/>
          <w:spacing w:val="20"/>
        </w:rPr>
        <w:t> </w:t>
      </w:r>
      <w:r w:rsidRPr="00E97E67">
        <w:rPr>
          <w:b/>
          <w:spacing w:val="20"/>
        </w:rPr>
        <w:t>в</w:t>
      </w:r>
      <w:r>
        <w:rPr>
          <w:b/>
          <w:spacing w:val="20"/>
        </w:rPr>
        <w:t> </w:t>
      </w:r>
      <w:r w:rsidRPr="00E97E67">
        <w:rPr>
          <w:b/>
          <w:spacing w:val="20"/>
        </w:rPr>
        <w:t>а</w:t>
      </w:r>
      <w:r>
        <w:rPr>
          <w:b/>
          <w:spacing w:val="20"/>
        </w:rPr>
        <w:t> </w:t>
      </w:r>
      <w:r w:rsidRPr="00E97E67">
        <w:rPr>
          <w:b/>
          <w:spacing w:val="20"/>
        </w:rPr>
        <w:t>ю</w:t>
      </w:r>
      <w:r>
        <w:rPr>
          <w:b/>
        </w:rPr>
        <w:t>:</w:t>
      </w:r>
    </w:p>
    <w:p w:rsidR="0063561E" w:rsidRDefault="0063561E" w:rsidP="000F39B7">
      <w:pPr>
        <w:ind w:right="-2"/>
        <w:rPr>
          <w:sz w:val="28"/>
          <w:szCs w:val="28"/>
        </w:rPr>
      </w:pPr>
    </w:p>
    <w:p w:rsidR="00A72DFF" w:rsidRDefault="00A72DFF" w:rsidP="000C6DAF">
      <w:pPr>
        <w:numPr>
          <w:ilvl w:val="0"/>
          <w:numId w:val="11"/>
        </w:numPr>
        <w:tabs>
          <w:tab w:val="left" w:pos="1134"/>
        </w:tabs>
        <w:ind w:left="0" w:right="-2" w:firstLine="709"/>
        <w:jc w:val="both"/>
        <w:rPr>
          <w:bCs/>
          <w:color w:val="000000"/>
          <w:sz w:val="28"/>
          <w:szCs w:val="28"/>
        </w:rPr>
      </w:pPr>
      <w:r w:rsidRPr="00164B36">
        <w:rPr>
          <w:bCs/>
          <w:color w:val="000000"/>
          <w:sz w:val="28"/>
          <w:szCs w:val="28"/>
        </w:rPr>
        <w:t xml:space="preserve">Установить </w:t>
      </w:r>
      <w:r>
        <w:rPr>
          <w:bCs/>
          <w:color w:val="000000"/>
          <w:sz w:val="28"/>
          <w:szCs w:val="28"/>
        </w:rPr>
        <w:t xml:space="preserve">единые (котловые) тарифы на услуги по передаче электрической энергии по сетям на территории Забайкальского края </w:t>
      </w:r>
      <w:r w:rsidR="00B12E0F">
        <w:rPr>
          <w:bCs/>
          <w:color w:val="000000"/>
          <w:sz w:val="28"/>
          <w:szCs w:val="28"/>
        </w:rPr>
        <w:t xml:space="preserve">на </w:t>
      </w:r>
      <w:r w:rsidR="004C05DB">
        <w:rPr>
          <w:bCs/>
          <w:color w:val="000000"/>
          <w:sz w:val="28"/>
          <w:szCs w:val="28"/>
        </w:rPr>
        <w:br/>
      </w:r>
      <w:r w:rsidR="000C6DAF">
        <w:rPr>
          <w:bCs/>
          <w:color w:val="000000"/>
          <w:sz w:val="28"/>
          <w:szCs w:val="28"/>
        </w:rPr>
        <w:t>2020</w:t>
      </w:r>
      <w:r w:rsidR="00B12E0F">
        <w:rPr>
          <w:bCs/>
          <w:color w:val="000000"/>
          <w:sz w:val="28"/>
          <w:szCs w:val="28"/>
        </w:rPr>
        <w:t xml:space="preserve"> год </w:t>
      </w:r>
      <w:r>
        <w:rPr>
          <w:bCs/>
          <w:color w:val="000000"/>
          <w:sz w:val="28"/>
          <w:szCs w:val="28"/>
        </w:rPr>
        <w:t>сог</w:t>
      </w:r>
      <w:r w:rsidRPr="00164B36">
        <w:rPr>
          <w:bCs/>
          <w:color w:val="000000"/>
          <w:sz w:val="28"/>
          <w:szCs w:val="28"/>
        </w:rPr>
        <w:t>ласно приложени</w:t>
      </w:r>
      <w:r>
        <w:rPr>
          <w:bCs/>
          <w:color w:val="000000"/>
          <w:sz w:val="28"/>
          <w:szCs w:val="28"/>
        </w:rPr>
        <w:t>ю</w:t>
      </w:r>
      <w:r w:rsidR="004C05DB">
        <w:rPr>
          <w:bCs/>
          <w:color w:val="000000"/>
          <w:sz w:val="28"/>
          <w:szCs w:val="28"/>
        </w:rPr>
        <w:t xml:space="preserve"> </w:t>
      </w:r>
      <w:r w:rsidR="00B12E0F">
        <w:rPr>
          <w:bCs/>
          <w:color w:val="000000"/>
          <w:sz w:val="28"/>
          <w:szCs w:val="28"/>
        </w:rPr>
        <w:t>к настоящему приказу</w:t>
      </w:r>
      <w:r w:rsidRPr="00164B36">
        <w:rPr>
          <w:bCs/>
          <w:color w:val="000000"/>
          <w:sz w:val="28"/>
          <w:szCs w:val="28"/>
        </w:rPr>
        <w:t>.</w:t>
      </w:r>
    </w:p>
    <w:p w:rsidR="00703BEF" w:rsidRDefault="00B12E0F" w:rsidP="000C6DAF">
      <w:pPr>
        <w:numPr>
          <w:ilvl w:val="0"/>
          <w:numId w:val="11"/>
        </w:numPr>
        <w:tabs>
          <w:tab w:val="left" w:pos="1134"/>
        </w:tabs>
        <w:ind w:left="0" w:right="-2" w:firstLine="709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Т</w:t>
      </w:r>
      <w:r w:rsidR="00607628" w:rsidRPr="00E84F31">
        <w:rPr>
          <w:sz w:val="28"/>
        </w:rPr>
        <w:t>арифы, установленные в пункте 1</w:t>
      </w:r>
      <w:r w:rsidR="00607628">
        <w:rPr>
          <w:sz w:val="28"/>
        </w:rPr>
        <w:t xml:space="preserve"> </w:t>
      </w:r>
      <w:r w:rsidR="00607628" w:rsidRPr="00E84F31">
        <w:rPr>
          <w:sz w:val="28"/>
        </w:rPr>
        <w:t xml:space="preserve">настоящего приказа, действуют с </w:t>
      </w:r>
      <w:r>
        <w:rPr>
          <w:sz w:val="28"/>
        </w:rPr>
        <w:t>момента вступления в силу настоящего приказа</w:t>
      </w:r>
      <w:r w:rsidR="00607628" w:rsidRPr="00E84F31">
        <w:rPr>
          <w:sz w:val="28"/>
        </w:rPr>
        <w:t xml:space="preserve"> по 31 декабря </w:t>
      </w:r>
      <w:r w:rsidR="000C6DAF">
        <w:rPr>
          <w:sz w:val="28"/>
        </w:rPr>
        <w:t>2020</w:t>
      </w:r>
      <w:r w:rsidR="00607628" w:rsidRPr="00E84F31">
        <w:rPr>
          <w:sz w:val="28"/>
        </w:rPr>
        <w:t xml:space="preserve"> года.</w:t>
      </w:r>
    </w:p>
    <w:p w:rsidR="000C6DAF" w:rsidRPr="000C6DAF" w:rsidRDefault="00A72DFF" w:rsidP="000C6DAF">
      <w:pPr>
        <w:numPr>
          <w:ilvl w:val="0"/>
          <w:numId w:val="11"/>
        </w:numPr>
        <w:tabs>
          <w:tab w:val="left" w:pos="1134"/>
        </w:tabs>
        <w:ind w:left="0" w:right="-2" w:firstLine="709"/>
        <w:jc w:val="both"/>
        <w:rPr>
          <w:bCs/>
          <w:color w:val="000000"/>
          <w:sz w:val="28"/>
          <w:szCs w:val="28"/>
        </w:rPr>
      </w:pPr>
      <w:r w:rsidRPr="00703BEF">
        <w:rPr>
          <w:color w:val="000000"/>
          <w:sz w:val="28"/>
          <w:szCs w:val="28"/>
        </w:rPr>
        <w:t>Признать утратившим</w:t>
      </w:r>
      <w:r w:rsidR="000C6DAF">
        <w:rPr>
          <w:color w:val="000000"/>
          <w:sz w:val="28"/>
          <w:szCs w:val="28"/>
        </w:rPr>
        <w:t>и</w:t>
      </w:r>
      <w:r w:rsidRPr="00703BEF">
        <w:rPr>
          <w:color w:val="000000"/>
          <w:sz w:val="28"/>
          <w:szCs w:val="28"/>
        </w:rPr>
        <w:t xml:space="preserve"> силу</w:t>
      </w:r>
      <w:r w:rsidR="000C6DAF">
        <w:rPr>
          <w:color w:val="000000"/>
          <w:sz w:val="28"/>
          <w:szCs w:val="28"/>
        </w:rPr>
        <w:t>:</w:t>
      </w:r>
    </w:p>
    <w:p w:rsidR="004C05DB" w:rsidRDefault="00A72DFF" w:rsidP="000C6DAF">
      <w:pPr>
        <w:numPr>
          <w:ilvl w:val="1"/>
          <w:numId w:val="11"/>
        </w:numPr>
        <w:tabs>
          <w:tab w:val="left" w:pos="1134"/>
        </w:tabs>
        <w:ind w:left="0" w:right="-2" w:firstLine="709"/>
        <w:jc w:val="both"/>
        <w:rPr>
          <w:sz w:val="28"/>
        </w:rPr>
      </w:pPr>
      <w:r w:rsidRPr="00703BEF">
        <w:rPr>
          <w:color w:val="000000"/>
          <w:sz w:val="28"/>
          <w:szCs w:val="28"/>
        </w:rPr>
        <w:t>приказ Региональной службы по тарифам и ценообразованию Забайкальского края</w:t>
      </w:r>
      <w:r w:rsidR="004C05DB" w:rsidRPr="00703BEF">
        <w:rPr>
          <w:color w:val="000000"/>
          <w:sz w:val="28"/>
          <w:szCs w:val="28"/>
        </w:rPr>
        <w:t xml:space="preserve"> от </w:t>
      </w:r>
      <w:r w:rsidR="000C6DAF">
        <w:rPr>
          <w:color w:val="000000"/>
          <w:sz w:val="28"/>
          <w:szCs w:val="28"/>
        </w:rPr>
        <w:t>28</w:t>
      </w:r>
      <w:r w:rsidR="004C05DB" w:rsidRPr="00703BEF">
        <w:rPr>
          <w:color w:val="000000"/>
          <w:sz w:val="28"/>
          <w:szCs w:val="28"/>
        </w:rPr>
        <w:t xml:space="preserve"> декабря </w:t>
      </w:r>
      <w:r w:rsidR="000C6DAF">
        <w:rPr>
          <w:color w:val="000000"/>
          <w:sz w:val="28"/>
          <w:szCs w:val="28"/>
        </w:rPr>
        <w:t>2018</w:t>
      </w:r>
      <w:r w:rsidR="004C05DB" w:rsidRPr="00703BEF">
        <w:rPr>
          <w:color w:val="000000"/>
          <w:sz w:val="28"/>
          <w:szCs w:val="28"/>
        </w:rPr>
        <w:t xml:space="preserve"> года № </w:t>
      </w:r>
      <w:r w:rsidR="000C6DAF">
        <w:rPr>
          <w:color w:val="000000"/>
          <w:sz w:val="28"/>
          <w:szCs w:val="28"/>
        </w:rPr>
        <w:t>765</w:t>
      </w:r>
      <w:r w:rsidR="004C05DB" w:rsidRPr="00703BEF">
        <w:rPr>
          <w:color w:val="000000"/>
          <w:sz w:val="28"/>
          <w:szCs w:val="28"/>
        </w:rPr>
        <w:t>-НПА «</w:t>
      </w:r>
      <w:r w:rsidR="004C05DB" w:rsidRPr="00703BEF">
        <w:rPr>
          <w:sz w:val="28"/>
        </w:rPr>
        <w:t>Об установлении единых (котловых) тарифов на услуги по передаче электрической энергии по сетям на территории З</w:t>
      </w:r>
      <w:r w:rsidR="00AE0608" w:rsidRPr="00703BEF">
        <w:rPr>
          <w:sz w:val="28"/>
        </w:rPr>
        <w:t xml:space="preserve">абайкальского края на </w:t>
      </w:r>
      <w:r w:rsidR="000C6DAF">
        <w:rPr>
          <w:sz w:val="28"/>
        </w:rPr>
        <w:t>2019</w:t>
      </w:r>
      <w:r w:rsidR="00AE0608" w:rsidRPr="00703BEF">
        <w:rPr>
          <w:sz w:val="28"/>
        </w:rPr>
        <w:t xml:space="preserve"> год»;</w:t>
      </w:r>
    </w:p>
    <w:p w:rsidR="000C6DAF" w:rsidRPr="00703BEF" w:rsidRDefault="000C6DAF" w:rsidP="000C6DAF">
      <w:pPr>
        <w:numPr>
          <w:ilvl w:val="1"/>
          <w:numId w:val="11"/>
        </w:numPr>
        <w:tabs>
          <w:tab w:val="left" w:pos="1134"/>
        </w:tabs>
        <w:ind w:left="0" w:right="-2" w:firstLine="709"/>
        <w:jc w:val="both"/>
        <w:rPr>
          <w:bCs/>
          <w:color w:val="000000"/>
          <w:sz w:val="28"/>
          <w:szCs w:val="28"/>
        </w:rPr>
      </w:pPr>
      <w:r w:rsidRPr="00703BEF">
        <w:rPr>
          <w:color w:val="000000"/>
          <w:sz w:val="28"/>
          <w:szCs w:val="28"/>
        </w:rPr>
        <w:t>приказ Региональной службы по тарифам и ценообразованию Забайкальского края</w:t>
      </w:r>
      <w:r>
        <w:rPr>
          <w:color w:val="000000"/>
          <w:sz w:val="28"/>
          <w:szCs w:val="28"/>
        </w:rPr>
        <w:t xml:space="preserve"> от 25 января 2019 года № 14-НПА «</w:t>
      </w:r>
      <w:r w:rsidR="00CC2454">
        <w:rPr>
          <w:color w:val="000000"/>
          <w:sz w:val="28"/>
          <w:szCs w:val="28"/>
        </w:rPr>
        <w:t xml:space="preserve">О внесении изменений в приложение к приказу </w:t>
      </w:r>
      <w:r w:rsidR="00CC2454" w:rsidRPr="00703BEF">
        <w:rPr>
          <w:color w:val="000000"/>
          <w:sz w:val="28"/>
          <w:szCs w:val="28"/>
        </w:rPr>
        <w:t>Региональной службы по тарифам и ценообразованию Забайкальского края</w:t>
      </w:r>
      <w:r w:rsidR="00CC2454">
        <w:rPr>
          <w:color w:val="000000"/>
          <w:sz w:val="28"/>
          <w:szCs w:val="28"/>
        </w:rPr>
        <w:t xml:space="preserve"> от 28</w:t>
      </w:r>
      <w:r w:rsidR="00CC2454" w:rsidRPr="00703BEF">
        <w:rPr>
          <w:color w:val="000000"/>
          <w:sz w:val="28"/>
          <w:szCs w:val="28"/>
        </w:rPr>
        <w:t xml:space="preserve"> декабря </w:t>
      </w:r>
      <w:r w:rsidR="00CC2454">
        <w:rPr>
          <w:color w:val="000000"/>
          <w:sz w:val="28"/>
          <w:szCs w:val="28"/>
        </w:rPr>
        <w:t>2018</w:t>
      </w:r>
      <w:r w:rsidR="00CC2454" w:rsidRPr="00703BEF">
        <w:rPr>
          <w:color w:val="000000"/>
          <w:sz w:val="28"/>
          <w:szCs w:val="28"/>
        </w:rPr>
        <w:t xml:space="preserve"> года № </w:t>
      </w:r>
      <w:r w:rsidR="00CC2454">
        <w:rPr>
          <w:color w:val="000000"/>
          <w:sz w:val="28"/>
          <w:szCs w:val="28"/>
        </w:rPr>
        <w:t>765</w:t>
      </w:r>
      <w:r w:rsidR="00CC2454" w:rsidRPr="00703BEF">
        <w:rPr>
          <w:color w:val="000000"/>
          <w:sz w:val="28"/>
          <w:szCs w:val="28"/>
        </w:rPr>
        <w:t>-НПА</w:t>
      </w:r>
      <w:r>
        <w:rPr>
          <w:color w:val="000000"/>
          <w:sz w:val="28"/>
          <w:szCs w:val="28"/>
        </w:rPr>
        <w:t>».</w:t>
      </w:r>
    </w:p>
    <w:p w:rsidR="00B12E0F" w:rsidRPr="0096624F" w:rsidRDefault="00C62E0A" w:rsidP="000C6DAF">
      <w:pPr>
        <w:numPr>
          <w:ilvl w:val="0"/>
          <w:numId w:val="11"/>
        </w:numPr>
        <w:tabs>
          <w:tab w:val="left" w:pos="1134"/>
        </w:tabs>
        <w:ind w:left="0" w:right="-2" w:firstLine="709"/>
        <w:jc w:val="both"/>
        <w:rPr>
          <w:bCs/>
          <w:color w:val="000000"/>
          <w:sz w:val="28"/>
          <w:szCs w:val="28"/>
        </w:rPr>
      </w:pPr>
      <w:r w:rsidRPr="004C05DB">
        <w:rPr>
          <w:color w:val="000000"/>
          <w:sz w:val="28"/>
          <w:szCs w:val="28"/>
        </w:rPr>
        <w:lastRenderedPageBreak/>
        <w:t>Настоящий приказ в</w:t>
      </w:r>
      <w:r w:rsidR="00B12E0F" w:rsidRPr="004C05DB">
        <w:rPr>
          <w:color w:val="000000"/>
          <w:sz w:val="28"/>
          <w:szCs w:val="28"/>
        </w:rPr>
        <w:t xml:space="preserve">ступает в силу </w:t>
      </w:r>
      <w:r w:rsidR="00B52AEB">
        <w:rPr>
          <w:color w:val="000000"/>
          <w:sz w:val="28"/>
          <w:szCs w:val="28"/>
        </w:rPr>
        <w:t xml:space="preserve">через 10 дней </w:t>
      </w:r>
      <w:r w:rsidR="00B12E0F" w:rsidRPr="004C05DB">
        <w:rPr>
          <w:color w:val="000000"/>
          <w:sz w:val="28"/>
          <w:szCs w:val="28"/>
        </w:rPr>
        <w:t xml:space="preserve">после дня его официального опубликования и распространяет свое действие на правоотношения, возникшие с 01 января </w:t>
      </w:r>
      <w:r w:rsidR="000C6DAF">
        <w:rPr>
          <w:color w:val="000000"/>
          <w:sz w:val="28"/>
          <w:szCs w:val="28"/>
        </w:rPr>
        <w:t>2020</w:t>
      </w:r>
      <w:r w:rsidR="00B12E0F" w:rsidRPr="004C05DB">
        <w:rPr>
          <w:color w:val="000000"/>
          <w:sz w:val="28"/>
          <w:szCs w:val="28"/>
        </w:rPr>
        <w:t xml:space="preserve"> года.</w:t>
      </w:r>
    </w:p>
    <w:p w:rsidR="0096624F" w:rsidRPr="00B06086" w:rsidRDefault="000C6DAF" w:rsidP="009743EF">
      <w:pPr>
        <w:numPr>
          <w:ilvl w:val="0"/>
          <w:numId w:val="11"/>
        </w:numPr>
        <w:tabs>
          <w:tab w:val="left" w:pos="1134"/>
        </w:tabs>
        <w:spacing w:line="233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6086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="0096624F" w:rsidRPr="00B06086">
        <w:rPr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96624F" w:rsidRPr="004C05DB" w:rsidRDefault="0096624F" w:rsidP="0096624F">
      <w:pPr>
        <w:tabs>
          <w:tab w:val="left" w:pos="1276"/>
        </w:tabs>
        <w:ind w:right="-2"/>
        <w:jc w:val="both"/>
        <w:rPr>
          <w:bCs/>
          <w:color w:val="000000"/>
          <w:sz w:val="28"/>
          <w:szCs w:val="28"/>
        </w:rPr>
      </w:pPr>
    </w:p>
    <w:p w:rsidR="00773668" w:rsidRDefault="00773668" w:rsidP="000F39B7">
      <w:pPr>
        <w:ind w:right="-2"/>
        <w:jc w:val="both"/>
        <w:rPr>
          <w:bCs/>
          <w:color w:val="000000"/>
          <w:sz w:val="28"/>
          <w:szCs w:val="28"/>
        </w:rPr>
      </w:pPr>
    </w:p>
    <w:p w:rsidR="00AE0608" w:rsidRDefault="00AE0608" w:rsidP="000F39B7">
      <w:pPr>
        <w:ind w:right="-2"/>
        <w:jc w:val="both"/>
        <w:rPr>
          <w:bCs/>
          <w:color w:val="000000"/>
          <w:sz w:val="28"/>
          <w:szCs w:val="28"/>
        </w:rPr>
      </w:pPr>
    </w:p>
    <w:p w:rsidR="00A72DFF" w:rsidRDefault="000C6DAF" w:rsidP="000F39B7">
      <w:pPr>
        <w:ind w:right="-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И.о. руководителя</w:t>
      </w:r>
      <w:r w:rsidR="00A72DFF">
        <w:rPr>
          <w:bCs/>
          <w:color w:val="000000"/>
          <w:sz w:val="28"/>
          <w:szCs w:val="28"/>
        </w:rPr>
        <w:t xml:space="preserve"> Службы                        </w:t>
      </w:r>
      <w:r>
        <w:rPr>
          <w:bCs/>
          <w:color w:val="000000"/>
          <w:sz w:val="28"/>
          <w:szCs w:val="28"/>
        </w:rPr>
        <w:t xml:space="preserve">                                       Е.А.Морозова</w:t>
      </w:r>
    </w:p>
    <w:p w:rsidR="00A72DFF" w:rsidRDefault="00A72DFF" w:rsidP="00DF25DA">
      <w:pPr>
        <w:ind w:left="-284"/>
        <w:rPr>
          <w:sz w:val="28"/>
          <w:szCs w:val="28"/>
        </w:rPr>
      </w:pPr>
    </w:p>
    <w:p w:rsidR="00800DB2" w:rsidRDefault="00DF25DA" w:rsidP="00652371">
      <w:pPr>
        <w:tabs>
          <w:tab w:val="left" w:pos="6521"/>
        </w:tabs>
        <w:ind w:left="-28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34E6A" w:rsidRDefault="00734E6A" w:rsidP="00400230">
      <w:pPr>
        <w:pStyle w:val="14pt"/>
        <w:ind w:left="4152"/>
        <w:jc w:val="center"/>
        <w:rPr>
          <w:b w:val="0"/>
        </w:rPr>
        <w:sectPr w:rsidR="00734E6A" w:rsidSect="005128A4">
          <w:headerReference w:type="default" r:id="rId11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00230" w:rsidRDefault="003848DA" w:rsidP="000C6DAF">
      <w:pPr>
        <w:pStyle w:val="14pt"/>
        <w:ind w:left="9214" w:firstLine="0"/>
        <w:jc w:val="center"/>
        <w:rPr>
          <w:b w:val="0"/>
        </w:rPr>
      </w:pPr>
      <w:r>
        <w:rPr>
          <w:b w:val="0"/>
        </w:rPr>
        <w:lastRenderedPageBreak/>
        <w:t>ПРИЛОЖЕНИЕ</w:t>
      </w:r>
    </w:p>
    <w:p w:rsidR="000C6DAF" w:rsidRDefault="000C6DAF" w:rsidP="00763230">
      <w:pPr>
        <w:pStyle w:val="14pt"/>
        <w:ind w:left="9356" w:firstLine="0"/>
        <w:jc w:val="center"/>
        <w:rPr>
          <w:b w:val="0"/>
        </w:rPr>
      </w:pPr>
    </w:p>
    <w:p w:rsidR="00763230" w:rsidRDefault="00400230" w:rsidP="00763230">
      <w:pPr>
        <w:pStyle w:val="14pt"/>
        <w:ind w:left="9356" w:firstLine="0"/>
        <w:jc w:val="center"/>
        <w:rPr>
          <w:b w:val="0"/>
        </w:rPr>
      </w:pPr>
      <w:r w:rsidRPr="00400230">
        <w:rPr>
          <w:b w:val="0"/>
        </w:rPr>
        <w:t>к приказу Р</w:t>
      </w:r>
      <w:r w:rsidR="00485AD0">
        <w:rPr>
          <w:b w:val="0"/>
        </w:rPr>
        <w:t>егиональной службы</w:t>
      </w:r>
    </w:p>
    <w:p w:rsidR="00400230" w:rsidRPr="00400230" w:rsidRDefault="00485AD0" w:rsidP="00763230">
      <w:pPr>
        <w:pStyle w:val="14pt"/>
        <w:ind w:left="9356" w:firstLine="0"/>
        <w:jc w:val="center"/>
        <w:rPr>
          <w:b w:val="0"/>
        </w:rPr>
      </w:pPr>
      <w:r>
        <w:rPr>
          <w:b w:val="0"/>
        </w:rPr>
        <w:t>по тарифам  и ценообразованию</w:t>
      </w:r>
      <w:r w:rsidR="00400230" w:rsidRPr="00400230">
        <w:rPr>
          <w:b w:val="0"/>
        </w:rPr>
        <w:t xml:space="preserve"> Забайкальского края</w:t>
      </w:r>
    </w:p>
    <w:p w:rsidR="001154B0" w:rsidRDefault="00D16BC3" w:rsidP="000C6DAF">
      <w:pPr>
        <w:tabs>
          <w:tab w:val="left" w:pos="6521"/>
          <w:tab w:val="left" w:pos="14317"/>
        </w:tabs>
        <w:ind w:left="9356" w:right="-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30F7">
        <w:rPr>
          <w:sz w:val="28"/>
          <w:szCs w:val="28"/>
        </w:rPr>
        <w:t>27</w:t>
      </w:r>
      <w:r w:rsidR="007E450B">
        <w:rPr>
          <w:sz w:val="28"/>
          <w:szCs w:val="28"/>
        </w:rPr>
        <w:t xml:space="preserve"> </w:t>
      </w:r>
      <w:r w:rsidR="0074067A">
        <w:rPr>
          <w:sz w:val="28"/>
          <w:szCs w:val="28"/>
        </w:rPr>
        <w:t>декабря</w:t>
      </w:r>
      <w:r w:rsidR="00400230" w:rsidRPr="00400230">
        <w:rPr>
          <w:sz w:val="28"/>
          <w:szCs w:val="28"/>
        </w:rPr>
        <w:t xml:space="preserve"> </w:t>
      </w:r>
      <w:r w:rsidR="000C6DAF">
        <w:rPr>
          <w:sz w:val="28"/>
          <w:szCs w:val="28"/>
        </w:rPr>
        <w:t>2019</w:t>
      </w:r>
      <w:r w:rsidR="00400230" w:rsidRPr="00400230">
        <w:rPr>
          <w:sz w:val="28"/>
          <w:szCs w:val="28"/>
        </w:rPr>
        <w:t xml:space="preserve"> года № </w:t>
      </w:r>
      <w:r w:rsidR="001C09F2">
        <w:rPr>
          <w:sz w:val="28"/>
          <w:szCs w:val="28"/>
        </w:rPr>
        <w:t>662</w:t>
      </w:r>
      <w:r w:rsidR="0074545C">
        <w:rPr>
          <w:sz w:val="28"/>
          <w:szCs w:val="28"/>
        </w:rPr>
        <w:t>-</w:t>
      </w:r>
      <w:r w:rsidR="000F39B7">
        <w:rPr>
          <w:sz w:val="28"/>
          <w:szCs w:val="28"/>
        </w:rPr>
        <w:t>НПА</w:t>
      </w:r>
    </w:p>
    <w:p w:rsidR="00400230" w:rsidRDefault="00400230" w:rsidP="00B6568A">
      <w:pPr>
        <w:tabs>
          <w:tab w:val="left" w:pos="6521"/>
        </w:tabs>
        <w:ind w:left="-284" w:right="-2"/>
        <w:jc w:val="right"/>
        <w:rPr>
          <w:sz w:val="28"/>
          <w:szCs w:val="28"/>
        </w:rPr>
      </w:pPr>
    </w:p>
    <w:p w:rsidR="00B6568A" w:rsidRDefault="00B6568A" w:rsidP="0044330C">
      <w:pPr>
        <w:tabs>
          <w:tab w:val="left" w:pos="6521"/>
        </w:tabs>
        <w:ind w:left="-284" w:right="-59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6568A" w:rsidRDefault="00B6568A" w:rsidP="00B6568A">
      <w:pPr>
        <w:tabs>
          <w:tab w:val="left" w:pos="6521"/>
        </w:tabs>
        <w:ind w:left="-284" w:right="-2"/>
        <w:jc w:val="right"/>
        <w:rPr>
          <w:sz w:val="28"/>
          <w:szCs w:val="28"/>
        </w:rPr>
      </w:pPr>
    </w:p>
    <w:p w:rsidR="00763230" w:rsidRDefault="00763230" w:rsidP="0044330C">
      <w:pPr>
        <w:pStyle w:val="1"/>
        <w:ind w:right="-599"/>
        <w:rPr>
          <w:sz w:val="28"/>
          <w:szCs w:val="28"/>
        </w:rPr>
      </w:pPr>
      <w:r w:rsidRPr="0074354A">
        <w:rPr>
          <w:sz w:val="28"/>
          <w:szCs w:val="28"/>
        </w:rPr>
        <w:t xml:space="preserve">ЕДИНЫЕ (КОТЛОВЫЕ) ТАРИФЫ </w:t>
      </w:r>
    </w:p>
    <w:p w:rsidR="0074354A" w:rsidRDefault="00763230" w:rsidP="0044330C">
      <w:pPr>
        <w:pStyle w:val="1"/>
        <w:ind w:right="-599"/>
        <w:rPr>
          <w:sz w:val="28"/>
          <w:szCs w:val="28"/>
        </w:rPr>
      </w:pPr>
      <w:r>
        <w:rPr>
          <w:sz w:val="28"/>
          <w:szCs w:val="28"/>
        </w:rPr>
        <w:t>на услуги п</w:t>
      </w:r>
      <w:r w:rsidR="0074354A" w:rsidRPr="0074354A">
        <w:rPr>
          <w:sz w:val="28"/>
          <w:szCs w:val="28"/>
        </w:rPr>
        <w:t xml:space="preserve">о передаче электрической энергии по сетям </w:t>
      </w:r>
      <w:r w:rsidR="00183AE1">
        <w:rPr>
          <w:sz w:val="28"/>
          <w:szCs w:val="28"/>
        </w:rPr>
        <w:t>Забайкальского края</w:t>
      </w:r>
      <w:r w:rsidR="0074354A" w:rsidRPr="0074354A">
        <w:rPr>
          <w:sz w:val="28"/>
          <w:szCs w:val="28"/>
        </w:rPr>
        <w:t xml:space="preserve">, поставляемой прочим потребителям на </w:t>
      </w:r>
      <w:r w:rsidR="000C6DAF">
        <w:rPr>
          <w:sz w:val="28"/>
          <w:szCs w:val="28"/>
        </w:rPr>
        <w:t>2020</w:t>
      </w:r>
      <w:r w:rsidR="0074354A" w:rsidRPr="0074354A">
        <w:rPr>
          <w:sz w:val="28"/>
          <w:szCs w:val="28"/>
        </w:rPr>
        <w:t xml:space="preserve"> год</w:t>
      </w:r>
    </w:p>
    <w:p w:rsidR="0021589B" w:rsidRPr="002A46A5" w:rsidRDefault="0021589B" w:rsidP="0021589B">
      <w:pPr>
        <w:rPr>
          <w:sz w:val="2"/>
        </w:rPr>
      </w:pPr>
    </w:p>
    <w:tbl>
      <w:tblPr>
        <w:tblW w:w="53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994"/>
        <w:gridCol w:w="991"/>
        <w:gridCol w:w="994"/>
        <w:gridCol w:w="1135"/>
        <w:gridCol w:w="1135"/>
        <w:gridCol w:w="1135"/>
        <w:gridCol w:w="988"/>
        <w:gridCol w:w="991"/>
        <w:gridCol w:w="994"/>
        <w:gridCol w:w="991"/>
        <w:gridCol w:w="1138"/>
        <w:gridCol w:w="988"/>
      </w:tblGrid>
      <w:tr w:rsidR="00D209FF" w:rsidRPr="00D209FF" w:rsidTr="00D209FF">
        <w:trPr>
          <w:trHeight w:val="305"/>
        </w:trPr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826" w:type="pct"/>
            <w:gridSpan w:val="12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Диапазоны напряжения</w:t>
            </w:r>
          </w:p>
        </w:tc>
      </w:tr>
      <w:tr w:rsidR="00D209FF" w:rsidRPr="00D209FF" w:rsidTr="00A7362B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D209FF" w:rsidRPr="00D209FF" w:rsidRDefault="00D209FF" w:rsidP="00D209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D209FF" w:rsidRPr="00D209FF" w:rsidRDefault="00D209FF" w:rsidP="00D209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D209FF" w:rsidRPr="00D209FF" w:rsidRDefault="00D209FF" w:rsidP="00D209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ВН-I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ВН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СН-I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СН-II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НН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ВН-I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ВН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СН-I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СН-II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НН</w:t>
            </w:r>
          </w:p>
        </w:tc>
      </w:tr>
      <w:tr w:rsidR="00D209FF" w:rsidRPr="00D209FF" w:rsidTr="00A7362B">
        <w:trPr>
          <w:trHeight w:val="300"/>
        </w:trPr>
        <w:tc>
          <w:tcPr>
            <w:tcW w:w="174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209FF" w:rsidRPr="00D209FF" w:rsidRDefault="00D209FF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3848DA" w:rsidRPr="00D209FF" w:rsidTr="00D209FF">
        <w:trPr>
          <w:trHeight w:val="300"/>
        </w:trPr>
        <w:tc>
          <w:tcPr>
            <w:tcW w:w="174" w:type="pct"/>
            <w:shd w:val="clear" w:color="auto" w:fill="auto"/>
            <w:vAlign w:val="center"/>
            <w:hideMark/>
          </w:tcPr>
          <w:p w:rsidR="003848DA" w:rsidRPr="00D209FF" w:rsidRDefault="003848DA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pct"/>
            <w:gridSpan w:val="2"/>
            <w:shd w:val="clear" w:color="auto" w:fill="auto"/>
            <w:hideMark/>
          </w:tcPr>
          <w:p w:rsidR="003848DA" w:rsidRPr="00D209FF" w:rsidRDefault="003848DA" w:rsidP="00D209FF">
            <w:pPr>
              <w:outlineLvl w:val="0"/>
              <w:rPr>
                <w:sz w:val="18"/>
                <w:szCs w:val="18"/>
              </w:rPr>
            </w:pPr>
            <w:r w:rsidRPr="00D209FF">
              <w:rPr>
                <w:sz w:val="18"/>
                <w:szCs w:val="18"/>
              </w:rPr>
              <w:t>Прочие потребители  (тарифы указаны без учета НДС)</w:t>
            </w:r>
          </w:p>
        </w:tc>
        <w:tc>
          <w:tcPr>
            <w:tcW w:w="1958" w:type="pct"/>
            <w:gridSpan w:val="6"/>
            <w:shd w:val="clear" w:color="auto" w:fill="auto"/>
            <w:vAlign w:val="center"/>
            <w:hideMark/>
          </w:tcPr>
          <w:p w:rsidR="003848DA" w:rsidRPr="00606EB0" w:rsidRDefault="003848DA" w:rsidP="00736277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606EB0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606EB0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868" w:type="pct"/>
            <w:gridSpan w:val="6"/>
            <w:shd w:val="clear" w:color="auto" w:fill="auto"/>
            <w:vAlign w:val="center"/>
            <w:hideMark/>
          </w:tcPr>
          <w:p w:rsidR="003848DA" w:rsidRPr="00606EB0" w:rsidRDefault="003848DA" w:rsidP="00736277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606EB0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606EB0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3848DA" w:rsidRPr="00D209FF" w:rsidTr="00D209FF">
        <w:trPr>
          <w:trHeight w:val="285"/>
        </w:trPr>
        <w:tc>
          <w:tcPr>
            <w:tcW w:w="174" w:type="pct"/>
            <w:shd w:val="clear" w:color="auto" w:fill="auto"/>
            <w:vAlign w:val="center"/>
            <w:hideMark/>
          </w:tcPr>
          <w:p w:rsidR="003848DA" w:rsidRPr="00D209FF" w:rsidRDefault="003848DA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826" w:type="pct"/>
            <w:gridSpan w:val="14"/>
            <w:shd w:val="clear" w:color="auto" w:fill="auto"/>
            <w:vAlign w:val="center"/>
            <w:hideMark/>
          </w:tcPr>
          <w:p w:rsidR="003848DA" w:rsidRPr="00D209FF" w:rsidRDefault="003848DA" w:rsidP="00D209FF">
            <w:pPr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Двухставочный тариф</w:t>
            </w:r>
          </w:p>
        </w:tc>
      </w:tr>
      <w:tr w:rsidR="009A1E33" w:rsidRPr="00D209FF" w:rsidTr="0078310F">
        <w:trPr>
          <w:trHeight w:val="389"/>
        </w:trPr>
        <w:tc>
          <w:tcPr>
            <w:tcW w:w="174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ind w:left="-108" w:right="-107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609" w:type="pct"/>
            <w:shd w:val="clear" w:color="auto" w:fill="auto"/>
            <w:hideMark/>
          </w:tcPr>
          <w:p w:rsidR="009A1E33" w:rsidRPr="00D209FF" w:rsidRDefault="009A1E33" w:rsidP="00D209FF">
            <w:pPr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- ставка за содержание электрических сетей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ind w:left="-108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руб./МВт∙мес.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ind w:left="-108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ind w:left="-108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8" w:right="-106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681 861,91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8" w:right="-106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1 046 572,69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8" w:right="-106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1 366 716,15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8" w:right="-106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1 584 802,28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ind w:left="-108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ind w:left="-108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704 257,76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986 589,26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1 403 617,49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1 604 185,88</w:t>
            </w:r>
          </w:p>
        </w:tc>
      </w:tr>
      <w:tr w:rsidR="009A1E33" w:rsidRPr="00D209FF" w:rsidTr="0078310F">
        <w:trPr>
          <w:trHeight w:val="765"/>
        </w:trPr>
        <w:tc>
          <w:tcPr>
            <w:tcW w:w="174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ind w:left="-108" w:right="-107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609" w:type="pct"/>
            <w:shd w:val="clear" w:color="auto" w:fill="auto"/>
            <w:hideMark/>
          </w:tcPr>
          <w:p w:rsidR="009A1E33" w:rsidRPr="00D209FF" w:rsidRDefault="009A1E33" w:rsidP="00D209FF">
            <w:pPr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ind w:left="-108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руб./МВт∙ч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ind w:left="-108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ind w:left="-108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8" w:right="-106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167,53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8" w:right="-106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236,95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8" w:right="-106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427,59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8" w:right="-106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999,29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ind w:left="-108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ind w:left="-108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167,53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236,95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427,59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999,29</w:t>
            </w:r>
          </w:p>
        </w:tc>
      </w:tr>
      <w:tr w:rsidR="009A1E33" w:rsidRPr="00D209FF" w:rsidTr="0078310F">
        <w:trPr>
          <w:trHeight w:val="293"/>
        </w:trPr>
        <w:tc>
          <w:tcPr>
            <w:tcW w:w="174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9A1E33" w:rsidRPr="00D209FF" w:rsidRDefault="009A1E33" w:rsidP="00357777">
            <w:pPr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Одноставочный тариф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ind w:left="-108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руб./кВт∙ч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ind w:left="-108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ind w:left="-108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9A1E33" w:rsidRPr="009A1E33" w:rsidRDefault="009A1E33" w:rsidP="009A1E33">
            <w:pPr>
              <w:ind w:left="-108" w:right="-106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1,10348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9A1E33" w:rsidRPr="009A1E33" w:rsidRDefault="009A1E33" w:rsidP="009A1E33">
            <w:pPr>
              <w:ind w:left="-108" w:right="-106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1,72770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9A1E33" w:rsidRPr="009A1E33" w:rsidRDefault="009A1E33" w:rsidP="009A1E33">
            <w:pPr>
              <w:ind w:left="-108" w:right="-106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2,31800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9A1E33" w:rsidRPr="009A1E33" w:rsidRDefault="009A1E33" w:rsidP="009A1E33">
            <w:pPr>
              <w:ind w:left="-108" w:right="-106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2,87590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ind w:left="-108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A1E33" w:rsidRPr="00D209FF" w:rsidRDefault="009A1E33" w:rsidP="00D209FF">
            <w:pPr>
              <w:ind w:left="-108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1,10348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1,72770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2,31800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A1E33" w:rsidRPr="009A1E33" w:rsidRDefault="009A1E33" w:rsidP="009A1E33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9A1E33">
              <w:rPr>
                <w:color w:val="000000"/>
                <w:sz w:val="18"/>
                <w:szCs w:val="20"/>
              </w:rPr>
              <w:t>2,88000</w:t>
            </w:r>
          </w:p>
        </w:tc>
      </w:tr>
      <w:tr w:rsidR="004C24CE" w:rsidRPr="00D209FF" w:rsidTr="0078310F">
        <w:trPr>
          <w:trHeight w:val="1095"/>
        </w:trPr>
        <w:tc>
          <w:tcPr>
            <w:tcW w:w="174" w:type="pct"/>
            <w:shd w:val="clear" w:color="auto" w:fill="auto"/>
            <w:vAlign w:val="center"/>
            <w:hideMark/>
          </w:tcPr>
          <w:p w:rsidR="004C24CE" w:rsidRPr="00D209FF" w:rsidRDefault="004C24CE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609" w:type="pct"/>
            <w:shd w:val="clear" w:color="auto" w:fill="auto"/>
            <w:hideMark/>
          </w:tcPr>
          <w:p w:rsidR="004C24CE" w:rsidRPr="00D209FF" w:rsidRDefault="004C24CE" w:rsidP="00D209FF">
            <w:pPr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C24CE" w:rsidRPr="00D209FF" w:rsidRDefault="004C24CE" w:rsidP="00D209FF">
            <w:pPr>
              <w:ind w:left="-108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850 938,60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497 212,04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-41 953,48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27 351,64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286 845,97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81 482,43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256 586,31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425 985,39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-229 214,05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-2 723,35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49 156,69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13 381,63</w:t>
            </w:r>
          </w:p>
        </w:tc>
      </w:tr>
      <w:tr w:rsidR="004C24CE" w:rsidRPr="00D209FF" w:rsidTr="0078310F">
        <w:trPr>
          <w:trHeight w:val="377"/>
        </w:trPr>
        <w:tc>
          <w:tcPr>
            <w:tcW w:w="174" w:type="pct"/>
            <w:shd w:val="clear" w:color="auto" w:fill="auto"/>
            <w:vAlign w:val="center"/>
            <w:hideMark/>
          </w:tcPr>
          <w:p w:rsidR="004C24CE" w:rsidRPr="00D209FF" w:rsidRDefault="004C24CE" w:rsidP="00D209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609" w:type="pct"/>
            <w:shd w:val="clear" w:color="auto" w:fill="auto"/>
            <w:hideMark/>
          </w:tcPr>
          <w:p w:rsidR="004C24CE" w:rsidRPr="00D209FF" w:rsidRDefault="004C24CE" w:rsidP="00D209FF">
            <w:pPr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Ставка перекрестного субсидирования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C24CE" w:rsidRPr="00D209FF" w:rsidRDefault="004C24CE" w:rsidP="00D209FF">
            <w:pPr>
              <w:ind w:left="-108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209FF">
              <w:rPr>
                <w:color w:val="000000"/>
                <w:sz w:val="18"/>
                <w:szCs w:val="18"/>
              </w:rPr>
              <w:t>руб./МВт∙ч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261,71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294,00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-89,39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643,45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816,15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147,02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82,91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color w:val="000000"/>
                <w:sz w:val="18"/>
                <w:szCs w:val="20"/>
              </w:rPr>
            </w:pPr>
            <w:r w:rsidRPr="004C24CE">
              <w:rPr>
                <w:color w:val="000000"/>
                <w:sz w:val="18"/>
                <w:szCs w:val="20"/>
              </w:rPr>
              <w:t>264,60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sz w:val="18"/>
                <w:szCs w:val="20"/>
              </w:rPr>
            </w:pPr>
            <w:r w:rsidRPr="004C24CE">
              <w:rPr>
                <w:sz w:val="18"/>
                <w:szCs w:val="20"/>
              </w:rPr>
              <w:t>-520,42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sz w:val="18"/>
                <w:szCs w:val="20"/>
              </w:rPr>
            </w:pPr>
            <w:r w:rsidRPr="004C24CE">
              <w:rPr>
                <w:sz w:val="18"/>
                <w:szCs w:val="20"/>
              </w:rPr>
              <w:t>-68,14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sz w:val="18"/>
                <w:szCs w:val="20"/>
              </w:rPr>
            </w:pPr>
            <w:r w:rsidRPr="004C24CE">
              <w:rPr>
                <w:sz w:val="18"/>
                <w:szCs w:val="20"/>
              </w:rPr>
              <w:t>148,02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C24CE" w:rsidRPr="004C24CE" w:rsidRDefault="004C24CE" w:rsidP="004C24CE">
            <w:pPr>
              <w:ind w:left="-107" w:right="-107"/>
              <w:jc w:val="center"/>
              <w:outlineLvl w:val="0"/>
              <w:rPr>
                <w:sz w:val="18"/>
                <w:szCs w:val="20"/>
              </w:rPr>
            </w:pPr>
            <w:r w:rsidRPr="004C24CE">
              <w:rPr>
                <w:sz w:val="18"/>
                <w:szCs w:val="20"/>
              </w:rPr>
              <w:t>25,69</w:t>
            </w:r>
          </w:p>
        </w:tc>
      </w:tr>
    </w:tbl>
    <w:p w:rsidR="00D209FF" w:rsidRDefault="00D209FF" w:rsidP="00243A6D">
      <w:pPr>
        <w:tabs>
          <w:tab w:val="left" w:pos="6521"/>
        </w:tabs>
        <w:ind w:right="-2"/>
        <w:jc w:val="right"/>
        <w:rPr>
          <w:sz w:val="28"/>
          <w:szCs w:val="28"/>
        </w:rPr>
      </w:pPr>
    </w:p>
    <w:p w:rsidR="00D209FF" w:rsidRDefault="00D209FF" w:rsidP="00243A6D">
      <w:pPr>
        <w:tabs>
          <w:tab w:val="left" w:pos="6521"/>
        </w:tabs>
        <w:ind w:right="-2"/>
        <w:jc w:val="right"/>
        <w:rPr>
          <w:sz w:val="28"/>
          <w:szCs w:val="28"/>
        </w:rPr>
      </w:pPr>
    </w:p>
    <w:p w:rsidR="00D209FF" w:rsidRDefault="00D209FF" w:rsidP="00243A6D">
      <w:pPr>
        <w:tabs>
          <w:tab w:val="left" w:pos="6521"/>
        </w:tabs>
        <w:ind w:right="-2"/>
        <w:jc w:val="right"/>
        <w:rPr>
          <w:sz w:val="28"/>
          <w:szCs w:val="28"/>
        </w:rPr>
      </w:pPr>
    </w:p>
    <w:p w:rsidR="0074354A" w:rsidRDefault="00243A6D" w:rsidP="00243A6D">
      <w:pPr>
        <w:tabs>
          <w:tab w:val="left" w:pos="6521"/>
        </w:tabs>
        <w:ind w:right="-2"/>
        <w:jc w:val="right"/>
        <w:rPr>
          <w:sz w:val="28"/>
          <w:szCs w:val="28"/>
        </w:rPr>
      </w:pPr>
      <w:r w:rsidRPr="00243A6D">
        <w:rPr>
          <w:sz w:val="28"/>
          <w:szCs w:val="28"/>
        </w:rPr>
        <w:lastRenderedPageBreak/>
        <w:t>Таблица 2</w:t>
      </w:r>
    </w:p>
    <w:p w:rsidR="006E5F4D" w:rsidRDefault="006E5F4D" w:rsidP="00243A6D">
      <w:pPr>
        <w:tabs>
          <w:tab w:val="left" w:pos="6521"/>
        </w:tabs>
        <w:ind w:right="-2"/>
        <w:jc w:val="right"/>
        <w:rPr>
          <w:sz w:val="28"/>
          <w:szCs w:val="28"/>
        </w:rPr>
      </w:pPr>
    </w:p>
    <w:p w:rsidR="00187FD1" w:rsidRDefault="00187FD1" w:rsidP="0044330C">
      <w:pPr>
        <w:pStyle w:val="1"/>
        <w:ind w:right="-173"/>
        <w:rPr>
          <w:sz w:val="28"/>
          <w:szCs w:val="28"/>
        </w:rPr>
      </w:pPr>
      <w:r w:rsidRPr="00187FD1">
        <w:rPr>
          <w:sz w:val="28"/>
          <w:szCs w:val="28"/>
        </w:rPr>
        <w:t xml:space="preserve">Размер экономически обоснованных единых (котловых) тарифов на услуги по передаче электрической энергии по сетям </w:t>
      </w:r>
      <w:r>
        <w:rPr>
          <w:sz w:val="28"/>
          <w:szCs w:val="28"/>
        </w:rPr>
        <w:t>Забайкальского края</w:t>
      </w:r>
      <w:r w:rsidRPr="00187FD1">
        <w:rPr>
          <w:sz w:val="28"/>
          <w:szCs w:val="28"/>
        </w:rPr>
        <w:t xml:space="preserve"> </w:t>
      </w:r>
      <w:hyperlink w:anchor="sub_280" w:history="1"/>
      <w:r w:rsidRPr="00187FD1">
        <w:rPr>
          <w:sz w:val="28"/>
          <w:szCs w:val="28"/>
        </w:rPr>
        <w:t xml:space="preserve">на </w:t>
      </w:r>
      <w:r w:rsidR="00CC2454">
        <w:rPr>
          <w:sz w:val="28"/>
          <w:szCs w:val="28"/>
        </w:rPr>
        <w:t>2020</w:t>
      </w:r>
      <w:r w:rsidRPr="00187FD1">
        <w:rPr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783"/>
        <w:gridCol w:w="2714"/>
        <w:gridCol w:w="1661"/>
        <w:gridCol w:w="1440"/>
        <w:gridCol w:w="2248"/>
        <w:gridCol w:w="2343"/>
      </w:tblGrid>
      <w:tr w:rsidR="00357777" w:rsidRPr="00357777" w:rsidTr="0044330C">
        <w:trPr>
          <w:trHeight w:val="495"/>
        </w:trPr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357777" w:rsidRPr="00357777" w:rsidRDefault="00357777" w:rsidP="004433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5777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32" w:type="pct"/>
            <w:vMerge w:val="restart"/>
            <w:shd w:val="clear" w:color="auto" w:fill="auto"/>
            <w:vAlign w:val="center"/>
            <w:hideMark/>
          </w:tcPr>
          <w:p w:rsidR="00357777" w:rsidRPr="00357777" w:rsidRDefault="00357777" w:rsidP="0044330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884" w:type="pct"/>
            <w:vMerge w:val="restart"/>
            <w:shd w:val="clear" w:color="auto" w:fill="auto"/>
            <w:vAlign w:val="center"/>
            <w:hideMark/>
          </w:tcPr>
          <w:p w:rsidR="00357777" w:rsidRPr="00357777" w:rsidRDefault="00357777" w:rsidP="0044330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05" w:type="pct"/>
            <w:gridSpan w:val="4"/>
            <w:shd w:val="clear" w:color="auto" w:fill="auto"/>
            <w:vAlign w:val="center"/>
            <w:hideMark/>
          </w:tcPr>
          <w:p w:rsidR="00357777" w:rsidRPr="00357777" w:rsidRDefault="00357777" w:rsidP="0044330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Уровни напряжения</w:t>
            </w:r>
          </w:p>
        </w:tc>
      </w:tr>
      <w:tr w:rsidR="00357777" w:rsidRPr="00357777" w:rsidTr="0044330C">
        <w:trPr>
          <w:trHeight w:val="300"/>
        </w:trPr>
        <w:tc>
          <w:tcPr>
            <w:tcW w:w="379" w:type="pct"/>
            <w:vMerge/>
            <w:vAlign w:val="center"/>
            <w:hideMark/>
          </w:tcPr>
          <w:p w:rsidR="00357777" w:rsidRPr="00357777" w:rsidRDefault="00357777" w:rsidP="004433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357777" w:rsidRPr="00357777" w:rsidRDefault="00357777" w:rsidP="004433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357777" w:rsidRPr="00357777" w:rsidRDefault="00357777" w:rsidP="004433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357777" w:rsidRPr="00357777" w:rsidRDefault="00357777" w:rsidP="0044330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ВН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357777" w:rsidRPr="00357777" w:rsidRDefault="00357777" w:rsidP="0044330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CH-I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357777" w:rsidRPr="00357777" w:rsidRDefault="00357777" w:rsidP="0044330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57777" w:rsidRPr="00357777" w:rsidRDefault="00357777" w:rsidP="0044330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НН</w:t>
            </w:r>
          </w:p>
        </w:tc>
      </w:tr>
      <w:tr w:rsidR="00357777" w:rsidRPr="00357777" w:rsidTr="0044330C">
        <w:trPr>
          <w:trHeight w:val="300"/>
        </w:trPr>
        <w:tc>
          <w:tcPr>
            <w:tcW w:w="379" w:type="pct"/>
            <w:shd w:val="clear" w:color="auto" w:fill="auto"/>
            <w:vAlign w:val="center"/>
            <w:hideMark/>
          </w:tcPr>
          <w:p w:rsidR="00357777" w:rsidRPr="00357777" w:rsidRDefault="00357777" w:rsidP="004433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57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357777" w:rsidRPr="00357777" w:rsidRDefault="00357777" w:rsidP="0044330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357777" w:rsidRPr="00357777" w:rsidRDefault="00357777" w:rsidP="0044330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357777" w:rsidRPr="00357777" w:rsidRDefault="00357777" w:rsidP="0044330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357777" w:rsidRPr="00357777" w:rsidRDefault="00357777" w:rsidP="0044330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357777" w:rsidRPr="00357777" w:rsidRDefault="00357777" w:rsidP="0044330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57777" w:rsidRPr="00357777" w:rsidRDefault="00357777" w:rsidP="0044330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7</w:t>
            </w:r>
          </w:p>
        </w:tc>
      </w:tr>
      <w:tr w:rsidR="00357777" w:rsidRPr="00357777" w:rsidTr="00357777">
        <w:trPr>
          <w:trHeight w:val="300"/>
        </w:trPr>
        <w:tc>
          <w:tcPr>
            <w:tcW w:w="379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bookmarkStart w:id="1" w:name="RANGE!A19"/>
            <w:r w:rsidRPr="00357777">
              <w:rPr>
                <w:color w:val="000000"/>
                <w:sz w:val="22"/>
                <w:szCs w:val="22"/>
              </w:rPr>
              <w:t>1</w:t>
            </w:r>
            <w:bookmarkEnd w:id="1"/>
          </w:p>
        </w:tc>
        <w:tc>
          <w:tcPr>
            <w:tcW w:w="4621" w:type="pct"/>
            <w:gridSpan w:val="6"/>
            <w:shd w:val="clear" w:color="auto" w:fill="auto"/>
            <w:hideMark/>
          </w:tcPr>
          <w:p w:rsidR="00357777" w:rsidRPr="00357777" w:rsidRDefault="0035777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Величины, используемые при утверждении (расчете) единых (котловых) тарифов на услуги по передаче электрической энергии в Забайкальском крае:</w:t>
            </w:r>
          </w:p>
        </w:tc>
      </w:tr>
      <w:tr w:rsidR="00357777" w:rsidRPr="00357777" w:rsidTr="0044330C">
        <w:trPr>
          <w:trHeight w:val="510"/>
        </w:trPr>
        <w:tc>
          <w:tcPr>
            <w:tcW w:w="379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bookmarkStart w:id="2" w:name="RANGE!A20"/>
            <w:r w:rsidRPr="00357777">
              <w:rPr>
                <w:color w:val="000000"/>
                <w:sz w:val="22"/>
                <w:szCs w:val="22"/>
              </w:rPr>
              <w:t>1.1</w:t>
            </w:r>
            <w:bookmarkEnd w:id="2"/>
          </w:p>
        </w:tc>
        <w:tc>
          <w:tcPr>
            <w:tcW w:w="2116" w:type="pct"/>
            <w:gridSpan w:val="2"/>
            <w:shd w:val="clear" w:color="auto" w:fill="auto"/>
            <w:hideMark/>
          </w:tcPr>
          <w:p w:rsidR="00357777" w:rsidRPr="00357777" w:rsidRDefault="00357777" w:rsidP="00357777">
            <w:pPr>
              <w:outlineLvl w:val="0"/>
              <w:rPr>
                <w:sz w:val="20"/>
                <w:szCs w:val="20"/>
              </w:rPr>
            </w:pPr>
            <w:r w:rsidRPr="00357777">
              <w:rPr>
                <w:sz w:val="20"/>
                <w:szCs w:val="20"/>
              </w:rPr>
              <w:t xml:space="preserve">Экономически обоснованные единые (котловые) тарифы на услуги по передаче электрической энергии (тарифы указаны без учета НДС) </w:t>
            </w:r>
          </w:p>
        </w:tc>
        <w:tc>
          <w:tcPr>
            <w:tcW w:w="2505" w:type="pct"/>
            <w:gridSpan w:val="4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I полугодие</w:t>
            </w:r>
          </w:p>
        </w:tc>
      </w:tr>
      <w:tr w:rsidR="00357777" w:rsidRPr="00357777" w:rsidTr="00357777">
        <w:trPr>
          <w:trHeight w:val="300"/>
        </w:trPr>
        <w:tc>
          <w:tcPr>
            <w:tcW w:w="379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bookmarkStart w:id="3" w:name="RANGE!A21"/>
            <w:r w:rsidRPr="00357777">
              <w:rPr>
                <w:color w:val="000000"/>
                <w:sz w:val="22"/>
                <w:szCs w:val="22"/>
              </w:rPr>
              <w:t>1.1.1</w:t>
            </w:r>
            <w:bookmarkEnd w:id="3"/>
          </w:p>
        </w:tc>
        <w:tc>
          <w:tcPr>
            <w:tcW w:w="4621" w:type="pct"/>
            <w:gridSpan w:val="6"/>
            <w:shd w:val="clear" w:color="auto" w:fill="auto"/>
            <w:hideMark/>
          </w:tcPr>
          <w:p w:rsidR="00357777" w:rsidRPr="00357777" w:rsidRDefault="0035777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Двухставочный тариф:</w:t>
            </w:r>
          </w:p>
        </w:tc>
      </w:tr>
      <w:tr w:rsidR="004C24CE" w:rsidRPr="00357777" w:rsidTr="0078310F">
        <w:trPr>
          <w:trHeight w:val="510"/>
        </w:trPr>
        <w:tc>
          <w:tcPr>
            <w:tcW w:w="379" w:type="pct"/>
            <w:shd w:val="clear" w:color="auto" w:fill="auto"/>
            <w:vAlign w:val="center"/>
            <w:hideMark/>
          </w:tcPr>
          <w:p w:rsidR="004C24CE" w:rsidRPr="00357777" w:rsidRDefault="004C24CE" w:rsidP="003577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bookmarkStart w:id="4" w:name="RANGE!A22"/>
            <w:r w:rsidRPr="00357777">
              <w:rPr>
                <w:color w:val="000000"/>
                <w:sz w:val="22"/>
                <w:szCs w:val="22"/>
              </w:rPr>
              <w:t>1.1.1.1</w:t>
            </w:r>
            <w:bookmarkEnd w:id="4"/>
          </w:p>
        </w:tc>
        <w:tc>
          <w:tcPr>
            <w:tcW w:w="1232" w:type="pct"/>
            <w:shd w:val="clear" w:color="auto" w:fill="auto"/>
            <w:hideMark/>
          </w:tcPr>
          <w:p w:rsidR="004C24CE" w:rsidRPr="00357777" w:rsidRDefault="004C24CE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4C24CE" w:rsidRPr="00357777" w:rsidRDefault="004C24CE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руб./МВт∙мес.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671 042,91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689 019,23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732 100,47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891 717,26</w:t>
            </w:r>
          </w:p>
        </w:tc>
      </w:tr>
      <w:tr w:rsidR="004C24CE" w:rsidRPr="00357777" w:rsidTr="0078310F">
        <w:trPr>
          <w:trHeight w:val="511"/>
        </w:trPr>
        <w:tc>
          <w:tcPr>
            <w:tcW w:w="379" w:type="pct"/>
            <w:shd w:val="clear" w:color="auto" w:fill="auto"/>
            <w:vAlign w:val="center"/>
            <w:hideMark/>
          </w:tcPr>
          <w:p w:rsidR="004C24CE" w:rsidRPr="00357777" w:rsidRDefault="004C24CE" w:rsidP="003577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bookmarkStart w:id="5" w:name="RANGE!A23"/>
            <w:r w:rsidRPr="00357777">
              <w:rPr>
                <w:color w:val="000000"/>
                <w:sz w:val="22"/>
                <w:szCs w:val="22"/>
              </w:rPr>
              <w:t>1.1.1.2</w:t>
            </w:r>
            <w:bookmarkEnd w:id="5"/>
          </w:p>
        </w:tc>
        <w:tc>
          <w:tcPr>
            <w:tcW w:w="1232" w:type="pct"/>
            <w:shd w:val="clear" w:color="auto" w:fill="auto"/>
            <w:hideMark/>
          </w:tcPr>
          <w:p w:rsidR="004C24CE" w:rsidRPr="00357777" w:rsidRDefault="004C24CE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4C24CE" w:rsidRPr="00357777" w:rsidRDefault="004C24CE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руб./МВт∙ч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167,53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236,95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427,59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999,29</w:t>
            </w:r>
          </w:p>
        </w:tc>
      </w:tr>
      <w:tr w:rsidR="004C24CE" w:rsidRPr="00357777" w:rsidTr="00C574A8">
        <w:trPr>
          <w:trHeight w:val="300"/>
        </w:trPr>
        <w:tc>
          <w:tcPr>
            <w:tcW w:w="379" w:type="pct"/>
            <w:shd w:val="clear" w:color="auto" w:fill="auto"/>
            <w:vAlign w:val="center"/>
            <w:hideMark/>
          </w:tcPr>
          <w:p w:rsidR="004C24CE" w:rsidRPr="00357777" w:rsidRDefault="004C24CE" w:rsidP="003577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bookmarkStart w:id="6" w:name="RANGE!A24"/>
            <w:r w:rsidRPr="00357777">
              <w:rPr>
                <w:color w:val="000000"/>
                <w:sz w:val="22"/>
                <w:szCs w:val="22"/>
              </w:rPr>
              <w:t>1.1.2</w:t>
            </w:r>
            <w:bookmarkEnd w:id="6"/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4C24CE" w:rsidRPr="00357777" w:rsidRDefault="004C24CE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4C24CE" w:rsidRPr="00357777" w:rsidRDefault="004C24CE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руб./кВт∙ч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1,19330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1,07535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1,39546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2,41360</w:t>
            </w:r>
          </w:p>
        </w:tc>
      </w:tr>
      <w:tr w:rsidR="00357777" w:rsidRPr="00357777" w:rsidTr="0044330C">
        <w:trPr>
          <w:trHeight w:val="510"/>
        </w:trPr>
        <w:tc>
          <w:tcPr>
            <w:tcW w:w="379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bookmarkStart w:id="7" w:name="RANGE!A25"/>
            <w:r w:rsidRPr="00357777">
              <w:rPr>
                <w:color w:val="000000"/>
                <w:sz w:val="22"/>
                <w:szCs w:val="22"/>
              </w:rPr>
              <w:t>1.2</w:t>
            </w:r>
            <w:bookmarkEnd w:id="7"/>
          </w:p>
        </w:tc>
        <w:tc>
          <w:tcPr>
            <w:tcW w:w="2116" w:type="pct"/>
            <w:gridSpan w:val="2"/>
            <w:shd w:val="clear" w:color="auto" w:fill="auto"/>
            <w:hideMark/>
          </w:tcPr>
          <w:p w:rsidR="00357777" w:rsidRPr="00357777" w:rsidRDefault="00357777" w:rsidP="00357777">
            <w:pPr>
              <w:outlineLvl w:val="0"/>
              <w:rPr>
                <w:sz w:val="20"/>
                <w:szCs w:val="20"/>
              </w:rPr>
            </w:pPr>
            <w:r w:rsidRPr="00357777">
              <w:rPr>
                <w:sz w:val="20"/>
                <w:szCs w:val="20"/>
              </w:rPr>
              <w:t>Экономически обоснованные единые (котловые) тарифы на услуги по передаче электрической энергии ((тарифы указаны без учета НДС)</w:t>
            </w:r>
          </w:p>
        </w:tc>
        <w:tc>
          <w:tcPr>
            <w:tcW w:w="2505" w:type="pct"/>
            <w:gridSpan w:val="4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II полугодие</w:t>
            </w:r>
          </w:p>
        </w:tc>
      </w:tr>
      <w:tr w:rsidR="00357777" w:rsidRPr="00357777" w:rsidTr="00357777">
        <w:trPr>
          <w:trHeight w:val="300"/>
        </w:trPr>
        <w:tc>
          <w:tcPr>
            <w:tcW w:w="379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bookmarkStart w:id="8" w:name="RANGE!A26"/>
            <w:r w:rsidRPr="00357777">
              <w:rPr>
                <w:color w:val="000000"/>
                <w:sz w:val="22"/>
                <w:szCs w:val="22"/>
              </w:rPr>
              <w:t>1.2.1</w:t>
            </w:r>
            <w:bookmarkEnd w:id="8"/>
          </w:p>
        </w:tc>
        <w:tc>
          <w:tcPr>
            <w:tcW w:w="4621" w:type="pct"/>
            <w:gridSpan w:val="6"/>
            <w:shd w:val="clear" w:color="auto" w:fill="auto"/>
            <w:hideMark/>
          </w:tcPr>
          <w:p w:rsidR="00357777" w:rsidRPr="00357777" w:rsidRDefault="0035777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Двухставочный тариф:</w:t>
            </w:r>
          </w:p>
        </w:tc>
      </w:tr>
      <w:tr w:rsidR="004C24CE" w:rsidRPr="00357777" w:rsidTr="0078310F">
        <w:trPr>
          <w:trHeight w:val="510"/>
        </w:trPr>
        <w:tc>
          <w:tcPr>
            <w:tcW w:w="379" w:type="pct"/>
            <w:shd w:val="clear" w:color="auto" w:fill="auto"/>
            <w:vAlign w:val="center"/>
            <w:hideMark/>
          </w:tcPr>
          <w:p w:rsidR="004C24CE" w:rsidRPr="00357777" w:rsidRDefault="004C24CE" w:rsidP="003577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bookmarkStart w:id="9" w:name="RANGE!A27"/>
            <w:r w:rsidRPr="00357777">
              <w:rPr>
                <w:color w:val="000000"/>
                <w:sz w:val="22"/>
                <w:szCs w:val="22"/>
              </w:rPr>
              <w:t>1.2.1.1</w:t>
            </w:r>
            <w:bookmarkEnd w:id="9"/>
          </w:p>
        </w:tc>
        <w:tc>
          <w:tcPr>
            <w:tcW w:w="1232" w:type="pct"/>
            <w:shd w:val="clear" w:color="auto" w:fill="auto"/>
            <w:hideMark/>
          </w:tcPr>
          <w:p w:rsidR="004C24CE" w:rsidRPr="00357777" w:rsidRDefault="004C24CE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4C24CE" w:rsidRPr="00357777" w:rsidRDefault="004C24CE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руб./МВт∙мес.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1 097 020,99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1 032 838,02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1 188 756,66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1 527 109,22</w:t>
            </w:r>
          </w:p>
        </w:tc>
      </w:tr>
      <w:tr w:rsidR="004C24CE" w:rsidRPr="00357777" w:rsidTr="0078310F">
        <w:trPr>
          <w:trHeight w:val="443"/>
        </w:trPr>
        <w:tc>
          <w:tcPr>
            <w:tcW w:w="379" w:type="pct"/>
            <w:shd w:val="clear" w:color="auto" w:fill="auto"/>
            <w:vAlign w:val="center"/>
            <w:hideMark/>
          </w:tcPr>
          <w:p w:rsidR="004C24CE" w:rsidRPr="00357777" w:rsidRDefault="004C24CE" w:rsidP="003577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bookmarkStart w:id="10" w:name="RANGE!A28"/>
            <w:r w:rsidRPr="00357777">
              <w:rPr>
                <w:color w:val="000000"/>
                <w:sz w:val="22"/>
                <w:szCs w:val="22"/>
              </w:rPr>
              <w:t>1.2.1.2</w:t>
            </w:r>
            <w:bookmarkEnd w:id="10"/>
          </w:p>
        </w:tc>
        <w:tc>
          <w:tcPr>
            <w:tcW w:w="1232" w:type="pct"/>
            <w:shd w:val="clear" w:color="auto" w:fill="auto"/>
            <w:hideMark/>
          </w:tcPr>
          <w:p w:rsidR="004C24CE" w:rsidRPr="00357777" w:rsidRDefault="004C24CE" w:rsidP="004C24CE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4C24CE" w:rsidRPr="00357777" w:rsidRDefault="004C24CE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руб./МВт∙ч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167,53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236,95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427,59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999,29</w:t>
            </w:r>
          </w:p>
        </w:tc>
      </w:tr>
      <w:tr w:rsidR="004C24CE" w:rsidRPr="00357777" w:rsidTr="00C574A8">
        <w:trPr>
          <w:trHeight w:val="300"/>
        </w:trPr>
        <w:tc>
          <w:tcPr>
            <w:tcW w:w="379" w:type="pct"/>
            <w:shd w:val="clear" w:color="auto" w:fill="auto"/>
            <w:vAlign w:val="center"/>
            <w:hideMark/>
          </w:tcPr>
          <w:p w:rsidR="004C24CE" w:rsidRPr="00357777" w:rsidRDefault="004C24CE" w:rsidP="003577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bookmarkStart w:id="11" w:name="RANGE!A29"/>
            <w:r w:rsidRPr="00357777">
              <w:rPr>
                <w:color w:val="000000"/>
                <w:sz w:val="22"/>
                <w:szCs w:val="22"/>
              </w:rPr>
              <w:t>1.2.2</w:t>
            </w:r>
            <w:bookmarkEnd w:id="11"/>
          </w:p>
        </w:tc>
        <w:tc>
          <w:tcPr>
            <w:tcW w:w="1232" w:type="pct"/>
            <w:shd w:val="clear" w:color="auto" w:fill="auto"/>
            <w:vAlign w:val="bottom"/>
            <w:hideMark/>
          </w:tcPr>
          <w:p w:rsidR="004C24CE" w:rsidRPr="00357777" w:rsidRDefault="004C24CE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4C24CE" w:rsidRPr="00357777" w:rsidRDefault="004C24CE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руб./кВт∙ч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1,62638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1,80014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2,17366</w:t>
            </w:r>
          </w:p>
        </w:tc>
        <w:tc>
          <w:tcPr>
            <w:tcW w:w="763" w:type="pct"/>
            <w:shd w:val="clear" w:color="auto" w:fill="auto"/>
            <w:vAlign w:val="bottom"/>
          </w:tcPr>
          <w:p w:rsidR="004C24CE" w:rsidRDefault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3,26821</w:t>
            </w:r>
          </w:p>
        </w:tc>
      </w:tr>
      <w:tr w:rsidR="00357777" w:rsidRPr="00357777" w:rsidTr="0044330C">
        <w:trPr>
          <w:trHeight w:val="2295"/>
        </w:trPr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5777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16" w:type="pct"/>
            <w:gridSpan w:val="2"/>
            <w:vMerge w:val="restar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Забайкальском крае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357777" w:rsidRPr="00357777" w:rsidTr="00A21650">
        <w:trPr>
          <w:trHeight w:val="300"/>
        </w:trPr>
        <w:tc>
          <w:tcPr>
            <w:tcW w:w="37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pct"/>
            <w:gridSpan w:val="2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shd w:val="clear" w:color="auto" w:fill="auto"/>
            <w:vAlign w:val="center"/>
            <w:hideMark/>
          </w:tcPr>
          <w:p w:rsidR="00357777" w:rsidRPr="00357777" w:rsidRDefault="00357777" w:rsidP="00A216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357777" w:rsidRPr="00357777" w:rsidRDefault="00357777" w:rsidP="00A216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57777" w:rsidRPr="00357777" w:rsidRDefault="00357777" w:rsidP="00A216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млн. кВт ч</w:t>
            </w:r>
          </w:p>
        </w:tc>
      </w:tr>
      <w:tr w:rsidR="00A07CA7" w:rsidRPr="00357777" w:rsidTr="00A07CA7">
        <w:trPr>
          <w:trHeight w:val="289"/>
        </w:trPr>
        <w:tc>
          <w:tcPr>
            <w:tcW w:w="379" w:type="pct"/>
            <w:shd w:val="clear" w:color="auto" w:fill="auto"/>
            <w:vAlign w:val="center"/>
            <w:hideMark/>
          </w:tcPr>
          <w:p w:rsidR="00A07CA7" w:rsidRPr="00357777" w:rsidRDefault="00A07CA7" w:rsidP="00C574A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57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6" w:type="pct"/>
            <w:gridSpan w:val="2"/>
            <w:shd w:val="clear" w:color="auto" w:fill="auto"/>
            <w:vAlign w:val="center"/>
          </w:tcPr>
          <w:p w:rsidR="00A07CA7" w:rsidRPr="00357777" w:rsidRDefault="00A07CA7" w:rsidP="00C574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«Горэлектросеть»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A07CA7" w:rsidRDefault="00A07CA7" w:rsidP="00A07C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10 381,87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07CA7" w:rsidRDefault="00A07CA7" w:rsidP="009A1E3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07CA7" w:rsidRDefault="00A07CA7" w:rsidP="009A1E3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A07CA7" w:rsidRPr="00357777" w:rsidTr="00A07CA7">
        <w:trPr>
          <w:trHeight w:val="765"/>
        </w:trPr>
        <w:tc>
          <w:tcPr>
            <w:tcW w:w="379" w:type="pct"/>
            <w:shd w:val="clear" w:color="auto" w:fill="auto"/>
            <w:vAlign w:val="center"/>
            <w:hideMark/>
          </w:tcPr>
          <w:p w:rsidR="00A07CA7" w:rsidRPr="00357777" w:rsidRDefault="00A07CA7" w:rsidP="003577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16" w:type="pct"/>
            <w:gridSpan w:val="2"/>
            <w:shd w:val="clear" w:color="auto" w:fill="auto"/>
            <w:vAlign w:val="center"/>
            <w:hideMark/>
          </w:tcPr>
          <w:p w:rsidR="00A07CA7" w:rsidRPr="00357777" w:rsidRDefault="00A07CA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ОАО «РЖД» в лице Восточно-Сибирской дирекции по энергообеспечению структурного подразделения «Трансэнерго» - филиал ОАО «РЖД»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A07CA7" w:rsidRDefault="00A07CA7" w:rsidP="00A07C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21 322,49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07CA7" w:rsidRDefault="00A07CA7" w:rsidP="009A1E3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07CA7" w:rsidRDefault="00A07CA7" w:rsidP="009A1E3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0,7192</w:t>
            </w:r>
          </w:p>
        </w:tc>
      </w:tr>
      <w:tr w:rsidR="00A07CA7" w:rsidRPr="00357777" w:rsidTr="00A07CA7">
        <w:trPr>
          <w:trHeight w:val="315"/>
        </w:trPr>
        <w:tc>
          <w:tcPr>
            <w:tcW w:w="379" w:type="pct"/>
            <w:shd w:val="clear" w:color="auto" w:fill="auto"/>
            <w:vAlign w:val="center"/>
            <w:hideMark/>
          </w:tcPr>
          <w:p w:rsidR="00A07CA7" w:rsidRPr="00357777" w:rsidRDefault="00A07CA7" w:rsidP="003577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6" w:type="pct"/>
            <w:gridSpan w:val="2"/>
            <w:shd w:val="clear" w:color="auto" w:fill="auto"/>
            <w:vAlign w:val="center"/>
            <w:hideMark/>
          </w:tcPr>
          <w:p w:rsidR="00A07CA7" w:rsidRPr="00357777" w:rsidRDefault="00A07CA7" w:rsidP="00AE3DE4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Филиал «Забайкальский» АО «Оборонэнерго»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A07CA7" w:rsidRDefault="00A07CA7" w:rsidP="00A07C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152 494,71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07CA7" w:rsidRDefault="00A07CA7" w:rsidP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1 580,22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07CA7" w:rsidRDefault="00A07CA7" w:rsidP="009A1E3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17,3882</w:t>
            </w:r>
          </w:p>
        </w:tc>
      </w:tr>
      <w:tr w:rsidR="00A07CA7" w:rsidRPr="00357777" w:rsidTr="00A07CA7">
        <w:trPr>
          <w:trHeight w:val="510"/>
        </w:trPr>
        <w:tc>
          <w:tcPr>
            <w:tcW w:w="379" w:type="pct"/>
            <w:shd w:val="clear" w:color="auto" w:fill="auto"/>
            <w:vAlign w:val="center"/>
            <w:hideMark/>
          </w:tcPr>
          <w:p w:rsidR="00A07CA7" w:rsidRPr="00357777" w:rsidRDefault="00A07CA7" w:rsidP="003577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16" w:type="pct"/>
            <w:gridSpan w:val="2"/>
            <w:shd w:val="clear" w:color="auto" w:fill="auto"/>
            <w:vAlign w:val="bottom"/>
            <w:hideMark/>
          </w:tcPr>
          <w:p w:rsidR="00A07CA7" w:rsidRPr="00357777" w:rsidRDefault="00A07CA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ОАО «РЖД» в лице Забайкальской дирекции по энергообеспечению структурного подразделения «Трансэнерго» - филиал ОАО «РЖД»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A07CA7" w:rsidRDefault="00A07CA7" w:rsidP="00A07C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341 088,63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07CA7" w:rsidRDefault="00A07CA7" w:rsidP="009A1E3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3 577,26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07CA7" w:rsidRDefault="00A07CA7" w:rsidP="009A1E3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34,5565</w:t>
            </w:r>
          </w:p>
        </w:tc>
      </w:tr>
      <w:tr w:rsidR="00A07CA7" w:rsidRPr="00357777" w:rsidTr="00A07CA7">
        <w:trPr>
          <w:trHeight w:val="510"/>
        </w:trPr>
        <w:tc>
          <w:tcPr>
            <w:tcW w:w="379" w:type="pct"/>
            <w:shd w:val="clear" w:color="auto" w:fill="auto"/>
            <w:vAlign w:val="center"/>
            <w:hideMark/>
          </w:tcPr>
          <w:p w:rsidR="00A07CA7" w:rsidRPr="00357777" w:rsidRDefault="00A07CA7" w:rsidP="003577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16" w:type="pct"/>
            <w:gridSpan w:val="2"/>
            <w:shd w:val="clear" w:color="auto" w:fill="auto"/>
            <w:vAlign w:val="bottom"/>
            <w:hideMark/>
          </w:tcPr>
          <w:p w:rsidR="00A07CA7" w:rsidRPr="00357777" w:rsidRDefault="00A07CA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Филиал ПАО «МРСК Сибири» - «Читаэнерго» (с учетом оплаты услуг ОАО «ФСК ЕЭС» по всем уровням напряжения)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A07CA7" w:rsidRDefault="00A07CA7" w:rsidP="00A07C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4 665 983,48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07CA7" w:rsidRDefault="00A07CA7" w:rsidP="009A1E3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220 521,65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07CA7" w:rsidRDefault="00A07CA7" w:rsidP="009A1E3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593,6466</w:t>
            </w:r>
          </w:p>
        </w:tc>
      </w:tr>
      <w:tr w:rsidR="009A1E33" w:rsidRPr="00357777" w:rsidTr="009A1E33">
        <w:trPr>
          <w:trHeight w:val="300"/>
        </w:trPr>
        <w:tc>
          <w:tcPr>
            <w:tcW w:w="2495" w:type="pct"/>
            <w:gridSpan w:val="3"/>
            <w:shd w:val="clear" w:color="auto" w:fill="auto"/>
            <w:vAlign w:val="center"/>
            <w:hideMark/>
          </w:tcPr>
          <w:p w:rsidR="009A1E33" w:rsidRPr="00357777" w:rsidRDefault="009A1E33" w:rsidP="009A1E33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9A1E33" w:rsidRDefault="004C24CE" w:rsidP="004C24C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5 191 271,16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A1E33" w:rsidRDefault="002A0311" w:rsidP="004C24C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225 679,13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A1E33" w:rsidRDefault="009A1E33" w:rsidP="009A1E3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646,3105</w:t>
            </w:r>
          </w:p>
        </w:tc>
      </w:tr>
    </w:tbl>
    <w:p w:rsidR="002A46A5" w:rsidRDefault="002A46A5" w:rsidP="00076138">
      <w:pPr>
        <w:jc w:val="right"/>
        <w:rPr>
          <w:sz w:val="28"/>
          <w:szCs w:val="28"/>
        </w:rPr>
      </w:pPr>
    </w:p>
    <w:p w:rsidR="00187FD1" w:rsidRDefault="004B0E29" w:rsidP="00076138">
      <w:pPr>
        <w:jc w:val="right"/>
        <w:rPr>
          <w:sz w:val="28"/>
          <w:szCs w:val="28"/>
        </w:rPr>
      </w:pPr>
      <w:r>
        <w:rPr>
          <w:sz w:val="28"/>
          <w:szCs w:val="28"/>
        </w:rPr>
        <w:t>Та</w:t>
      </w:r>
      <w:r w:rsidR="00076138" w:rsidRPr="00076138">
        <w:rPr>
          <w:sz w:val="28"/>
          <w:szCs w:val="28"/>
        </w:rPr>
        <w:t>блица 3</w:t>
      </w:r>
    </w:p>
    <w:p w:rsidR="00076138" w:rsidRDefault="00076138" w:rsidP="00076138">
      <w:pPr>
        <w:jc w:val="right"/>
        <w:rPr>
          <w:sz w:val="28"/>
          <w:szCs w:val="28"/>
        </w:rPr>
      </w:pPr>
    </w:p>
    <w:p w:rsidR="00076138" w:rsidRDefault="00076138" w:rsidP="0044330C">
      <w:pPr>
        <w:pStyle w:val="1"/>
        <w:ind w:left="-142" w:right="-173"/>
        <w:rPr>
          <w:sz w:val="28"/>
          <w:szCs w:val="28"/>
        </w:rPr>
      </w:pPr>
      <w:r w:rsidRPr="00076138">
        <w:rPr>
          <w:sz w:val="28"/>
          <w:szCs w:val="28"/>
        </w:rPr>
        <w:t xml:space="preserve">Показатели для целей расчета единых (котловых) тарифов на услуги по передаче электрической энергии </w:t>
      </w:r>
    </w:p>
    <w:p w:rsidR="00076138" w:rsidRDefault="00076138" w:rsidP="0044330C">
      <w:pPr>
        <w:pStyle w:val="1"/>
        <w:ind w:left="-142" w:right="-173" w:firstLine="142"/>
        <w:rPr>
          <w:sz w:val="28"/>
          <w:szCs w:val="28"/>
        </w:rPr>
      </w:pPr>
      <w:r w:rsidRPr="00076138">
        <w:rPr>
          <w:sz w:val="28"/>
          <w:szCs w:val="28"/>
        </w:rPr>
        <w:t xml:space="preserve">по сетям Забайкальского края на </w:t>
      </w:r>
      <w:r w:rsidR="00CC2454">
        <w:rPr>
          <w:sz w:val="28"/>
          <w:szCs w:val="28"/>
        </w:rPr>
        <w:t>2020</w:t>
      </w:r>
      <w:r w:rsidRPr="00076138">
        <w:rPr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520"/>
        <w:gridCol w:w="1752"/>
        <w:gridCol w:w="1035"/>
        <w:gridCol w:w="961"/>
        <w:gridCol w:w="1053"/>
        <w:gridCol w:w="1004"/>
        <w:gridCol w:w="1044"/>
        <w:gridCol w:w="1121"/>
        <w:gridCol w:w="1022"/>
        <w:gridCol w:w="921"/>
        <w:gridCol w:w="1072"/>
        <w:gridCol w:w="1081"/>
      </w:tblGrid>
      <w:tr w:rsidR="003848DA" w:rsidRPr="00357777" w:rsidTr="009A1E33">
        <w:trPr>
          <w:trHeight w:val="315"/>
          <w:tblHeader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3848DA" w:rsidRPr="00357777" w:rsidRDefault="003848DA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Pr="00357777">
              <w:rPr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821" w:type="pct"/>
            <w:vMerge w:val="restart"/>
            <w:shd w:val="clear" w:color="auto" w:fill="auto"/>
            <w:vAlign w:val="center"/>
            <w:hideMark/>
          </w:tcPr>
          <w:p w:rsidR="003848DA" w:rsidRPr="00357777" w:rsidRDefault="003848DA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:rsidR="003848DA" w:rsidRPr="00357777" w:rsidRDefault="003848DA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60" w:type="pct"/>
            <w:gridSpan w:val="5"/>
            <w:shd w:val="clear" w:color="auto" w:fill="auto"/>
            <w:vAlign w:val="center"/>
            <w:hideMark/>
          </w:tcPr>
          <w:p w:rsidR="003848DA" w:rsidRPr="00606EB0" w:rsidRDefault="003848DA" w:rsidP="00736277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606EB0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606EB0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699" w:type="pct"/>
            <w:gridSpan w:val="5"/>
            <w:shd w:val="clear" w:color="auto" w:fill="auto"/>
            <w:vAlign w:val="center"/>
            <w:hideMark/>
          </w:tcPr>
          <w:p w:rsidR="003848DA" w:rsidRPr="00606EB0" w:rsidRDefault="003848DA" w:rsidP="00736277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606EB0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606EB0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357777" w:rsidRPr="00357777" w:rsidTr="009A1E33">
        <w:trPr>
          <w:trHeight w:val="315"/>
          <w:tblHeader/>
        </w:trPr>
        <w:tc>
          <w:tcPr>
            <w:tcW w:w="24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gridSpan w:val="5"/>
            <w:shd w:val="clear" w:color="auto" w:fill="auto"/>
            <w:noWrap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Диапазоны напряжения</w:t>
            </w:r>
          </w:p>
        </w:tc>
        <w:tc>
          <w:tcPr>
            <w:tcW w:w="1699" w:type="pct"/>
            <w:gridSpan w:val="5"/>
            <w:shd w:val="clear" w:color="auto" w:fill="auto"/>
            <w:noWrap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Диапазоны напряжения</w:t>
            </w:r>
          </w:p>
        </w:tc>
      </w:tr>
      <w:tr w:rsidR="00357777" w:rsidRPr="00357777" w:rsidTr="009A1E33">
        <w:trPr>
          <w:trHeight w:val="315"/>
          <w:tblHeader/>
        </w:trPr>
        <w:tc>
          <w:tcPr>
            <w:tcW w:w="24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ВН-I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ВН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CH-I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СН-II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НН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ВН-I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ВН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CH-I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СН-II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НН</w:t>
            </w:r>
          </w:p>
        </w:tc>
      </w:tr>
      <w:tr w:rsidR="00357777" w:rsidRPr="00357777" w:rsidTr="009A1E33">
        <w:trPr>
          <w:trHeight w:val="315"/>
          <w:tblHeader/>
        </w:trPr>
        <w:tc>
          <w:tcPr>
            <w:tcW w:w="249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57777" w:rsidRPr="00357777" w:rsidTr="000B7201">
        <w:trPr>
          <w:trHeight w:val="300"/>
        </w:trPr>
        <w:tc>
          <w:tcPr>
            <w:tcW w:w="249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1" w:type="pct"/>
            <w:gridSpan w:val="12"/>
            <w:shd w:val="clear" w:color="auto" w:fill="auto"/>
            <w:noWrap/>
            <w:vAlign w:val="center"/>
            <w:hideMark/>
          </w:tcPr>
          <w:p w:rsidR="00357777" w:rsidRPr="00357777" w:rsidRDefault="0035777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Величины, используемые при утверждении (расчете) единых (котловых) тарифов на услуги по передаче электрической энергии в Забайкальском крае</w:t>
            </w:r>
          </w:p>
        </w:tc>
      </w:tr>
      <w:tr w:rsidR="009A1E33" w:rsidRPr="00357777" w:rsidTr="009A1E33">
        <w:trPr>
          <w:trHeight w:val="975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12" w:name="RANGE!A45"/>
            <w:r w:rsidRPr="00357777">
              <w:rPr>
                <w:color w:val="000000"/>
                <w:sz w:val="20"/>
                <w:szCs w:val="20"/>
              </w:rPr>
              <w:t>1</w:t>
            </w:r>
            <w:bookmarkEnd w:id="12"/>
          </w:p>
        </w:tc>
        <w:tc>
          <w:tcPr>
            <w:tcW w:w="821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млн. кВт∙ч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9A1E33" w:rsidRPr="009A1E33" w:rsidRDefault="009A1E33" w:rsidP="009A1E33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1 691,1974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9A1E33" w:rsidRPr="009A1E33" w:rsidRDefault="009A1E33" w:rsidP="009A1E33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469,3455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9A1E33" w:rsidRPr="009A1E33" w:rsidRDefault="009A1E33" w:rsidP="009A1E33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42,5077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9A1E33" w:rsidRPr="009A1E33" w:rsidRDefault="009A1E33" w:rsidP="009A1E33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351,4636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9A1E33" w:rsidRPr="009A1E33" w:rsidRDefault="009A1E33" w:rsidP="009A1E33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554,2150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A1E33" w:rsidRPr="009A1E33" w:rsidRDefault="009A1E33" w:rsidP="009A1E33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1 609,9221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9A1E33" w:rsidRPr="009A1E33" w:rsidRDefault="009A1E33" w:rsidP="009A1E33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440,4384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9A1E33" w:rsidRPr="009A1E33" w:rsidRDefault="009A1E33" w:rsidP="009A1E33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39,9683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9A1E33" w:rsidRPr="009A1E33" w:rsidRDefault="009A1E33" w:rsidP="009A1E33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332,0854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9A1E33" w:rsidRPr="009A1E33" w:rsidRDefault="009A1E33" w:rsidP="009A1E33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520,8976</w:t>
            </w:r>
          </w:p>
        </w:tc>
      </w:tr>
      <w:tr w:rsidR="00357777" w:rsidRPr="00357777" w:rsidTr="009A1E33">
        <w:trPr>
          <w:trHeight w:val="450"/>
        </w:trPr>
        <w:tc>
          <w:tcPr>
            <w:tcW w:w="24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</w:tr>
      <w:tr w:rsidR="00357777" w:rsidRPr="00357777" w:rsidTr="00C574A8">
        <w:trPr>
          <w:trHeight w:val="315"/>
        </w:trPr>
        <w:tc>
          <w:tcPr>
            <w:tcW w:w="249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13" w:name="RANGE!A47"/>
            <w:r w:rsidRPr="00357777">
              <w:rPr>
                <w:color w:val="000000"/>
                <w:sz w:val="20"/>
                <w:szCs w:val="20"/>
              </w:rPr>
              <w:t>1.1</w:t>
            </w:r>
            <w:bookmarkEnd w:id="13"/>
          </w:p>
        </w:tc>
        <w:tc>
          <w:tcPr>
            <w:tcW w:w="4751" w:type="pct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77" w:rsidRPr="00357777" w:rsidRDefault="0035777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357777" w:rsidRPr="00357777" w:rsidTr="00C574A8">
        <w:trPr>
          <w:trHeight w:val="300"/>
        </w:trPr>
        <w:tc>
          <w:tcPr>
            <w:tcW w:w="24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14" w:name="RANGE!A48"/>
            <w:r w:rsidRPr="00357777">
              <w:rPr>
                <w:color w:val="000000"/>
                <w:sz w:val="20"/>
                <w:szCs w:val="20"/>
              </w:rPr>
              <w:t>1.1.1</w:t>
            </w:r>
            <w:bookmarkEnd w:id="14"/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sz w:val="20"/>
                <w:szCs w:val="20"/>
              </w:rPr>
            </w:pPr>
            <w:r w:rsidRPr="00357777">
              <w:rPr>
                <w:sz w:val="20"/>
                <w:szCs w:val="20"/>
              </w:rPr>
              <w:t>Население и приравненные к нему категории потребителей,</w:t>
            </w:r>
            <w:r>
              <w:rPr>
                <w:sz w:val="20"/>
                <w:szCs w:val="20"/>
              </w:rPr>
              <w:t xml:space="preserve"> </w:t>
            </w:r>
            <w:r w:rsidRPr="00357777">
              <w:rPr>
                <w:sz w:val="20"/>
                <w:szCs w:val="20"/>
              </w:rPr>
              <w:t>за исключением указанного в пунктах 1.1.2 и 1.1.3:</w:t>
            </w:r>
          </w:p>
        </w:tc>
      </w:tr>
      <w:tr w:rsidR="00357777" w:rsidRPr="00357777" w:rsidTr="00C574A8">
        <w:trPr>
          <w:trHeight w:val="1815"/>
        </w:trPr>
        <w:tc>
          <w:tcPr>
            <w:tcW w:w="249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357777" w:rsidRPr="00357777" w:rsidTr="00C574A8">
        <w:trPr>
          <w:trHeight w:val="413"/>
        </w:trPr>
        <w:tc>
          <w:tcPr>
            <w:tcW w:w="249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A1E33" w:rsidRPr="00357777" w:rsidTr="009A1E33">
        <w:trPr>
          <w:trHeight w:val="675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млн. кВт∙ч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</w:rPr>
            </w:pPr>
            <w:r w:rsidRPr="009A1E33">
              <w:rPr>
                <w:color w:val="000000"/>
                <w:sz w:val="22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1E33">
              <w:rPr>
                <w:color w:val="000000"/>
                <w:sz w:val="22"/>
                <w:szCs w:val="22"/>
              </w:rPr>
              <w:t>0,2474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1E33">
              <w:rPr>
                <w:color w:val="000000"/>
                <w:sz w:val="22"/>
                <w:szCs w:val="22"/>
              </w:rPr>
              <w:t>0,1427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1E33">
              <w:rPr>
                <w:color w:val="000000"/>
                <w:sz w:val="22"/>
                <w:szCs w:val="22"/>
              </w:rPr>
              <w:t>9,5830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1E33">
              <w:rPr>
                <w:color w:val="000000"/>
                <w:sz w:val="22"/>
                <w:szCs w:val="22"/>
              </w:rPr>
              <w:t>86,0511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</w:rPr>
            </w:pPr>
            <w:r w:rsidRPr="009A1E33">
              <w:rPr>
                <w:color w:val="000000"/>
                <w:sz w:val="22"/>
              </w:rPr>
              <w:t>-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1E33">
              <w:rPr>
                <w:color w:val="000000"/>
                <w:sz w:val="22"/>
                <w:szCs w:val="22"/>
              </w:rPr>
              <w:t>0,2309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1E33">
              <w:rPr>
                <w:color w:val="000000"/>
                <w:sz w:val="22"/>
                <w:szCs w:val="22"/>
              </w:rPr>
              <w:t>0,1332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1E33">
              <w:rPr>
                <w:color w:val="000000"/>
                <w:sz w:val="22"/>
                <w:szCs w:val="22"/>
              </w:rPr>
              <w:t>8,9431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1E33">
              <w:rPr>
                <w:color w:val="000000"/>
                <w:sz w:val="22"/>
                <w:szCs w:val="22"/>
              </w:rPr>
              <w:t>80,4310</w:t>
            </w:r>
          </w:p>
        </w:tc>
      </w:tr>
      <w:tr w:rsidR="00357777" w:rsidRPr="00357777" w:rsidTr="009A1E33">
        <w:trPr>
          <w:trHeight w:val="300"/>
        </w:trPr>
        <w:tc>
          <w:tcPr>
            <w:tcW w:w="24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</w:tr>
      <w:tr w:rsidR="00357777" w:rsidRPr="00357777" w:rsidTr="00C574A8">
        <w:trPr>
          <w:trHeight w:val="300"/>
        </w:trPr>
        <w:tc>
          <w:tcPr>
            <w:tcW w:w="24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15" w:name="RANGE!A53"/>
            <w:r w:rsidRPr="00357777">
              <w:rPr>
                <w:color w:val="000000"/>
                <w:sz w:val="20"/>
                <w:szCs w:val="20"/>
              </w:rPr>
              <w:t>1.1.2</w:t>
            </w:r>
            <w:bookmarkEnd w:id="15"/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Население, проживающее в городских населенных пунктах в домах,</w:t>
            </w:r>
            <w:r w:rsidR="00A21650">
              <w:rPr>
                <w:color w:val="000000"/>
                <w:sz w:val="20"/>
                <w:szCs w:val="20"/>
              </w:rPr>
              <w:t xml:space="preserve"> </w:t>
            </w:r>
            <w:r w:rsidRPr="00357777">
              <w:rPr>
                <w:color w:val="000000"/>
                <w:sz w:val="20"/>
                <w:szCs w:val="20"/>
              </w:rPr>
              <w:t>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</w:tc>
      </w:tr>
      <w:tr w:rsidR="00357777" w:rsidRPr="00357777" w:rsidTr="00C574A8">
        <w:trPr>
          <w:trHeight w:val="1845"/>
        </w:trPr>
        <w:tc>
          <w:tcPr>
            <w:tcW w:w="249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357777" w:rsidRPr="00357777" w:rsidTr="00C574A8">
        <w:trPr>
          <w:trHeight w:val="345"/>
        </w:trPr>
        <w:tc>
          <w:tcPr>
            <w:tcW w:w="249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A1E33" w:rsidRPr="00357777" w:rsidTr="009A1E33">
        <w:trPr>
          <w:trHeight w:val="720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млн. кВт∙ч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</w:rPr>
            </w:pPr>
            <w:r w:rsidRPr="009A1E33">
              <w:rPr>
                <w:color w:val="000000"/>
                <w:sz w:val="22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1E33">
              <w:rPr>
                <w:color w:val="000000"/>
                <w:sz w:val="22"/>
                <w:szCs w:val="22"/>
              </w:rPr>
              <w:t>0,2905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1E33">
              <w:rPr>
                <w:color w:val="000000"/>
                <w:sz w:val="22"/>
                <w:szCs w:val="22"/>
              </w:rPr>
              <w:t>0,1676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1E33">
              <w:rPr>
                <w:color w:val="000000"/>
                <w:sz w:val="22"/>
                <w:szCs w:val="22"/>
              </w:rPr>
              <w:t>11,2497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1E33">
              <w:rPr>
                <w:color w:val="000000"/>
                <w:sz w:val="22"/>
                <w:szCs w:val="22"/>
              </w:rPr>
              <w:t>101,0165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1E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1E33">
              <w:rPr>
                <w:color w:val="000000"/>
                <w:sz w:val="22"/>
                <w:szCs w:val="22"/>
              </w:rPr>
              <w:t>0,2711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1E33">
              <w:rPr>
                <w:color w:val="000000"/>
                <w:sz w:val="22"/>
                <w:szCs w:val="22"/>
              </w:rPr>
              <w:t>0,1564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1E33">
              <w:rPr>
                <w:color w:val="000000"/>
                <w:sz w:val="22"/>
                <w:szCs w:val="22"/>
              </w:rPr>
              <w:t>10,4984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1E33">
              <w:rPr>
                <w:color w:val="000000"/>
                <w:sz w:val="22"/>
                <w:szCs w:val="22"/>
              </w:rPr>
              <w:t>94,4190</w:t>
            </w:r>
          </w:p>
        </w:tc>
      </w:tr>
      <w:tr w:rsidR="00357777" w:rsidRPr="00357777" w:rsidTr="009A1E33">
        <w:trPr>
          <w:trHeight w:val="300"/>
        </w:trPr>
        <w:tc>
          <w:tcPr>
            <w:tcW w:w="24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</w:tr>
      <w:tr w:rsidR="00357777" w:rsidRPr="00357777" w:rsidTr="00C574A8">
        <w:trPr>
          <w:trHeight w:val="300"/>
        </w:trPr>
        <w:tc>
          <w:tcPr>
            <w:tcW w:w="24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16" w:name="RANGE!A58"/>
            <w:r w:rsidRPr="00357777">
              <w:rPr>
                <w:color w:val="000000"/>
                <w:sz w:val="20"/>
                <w:szCs w:val="20"/>
              </w:rPr>
              <w:t>1.1.3</w:t>
            </w:r>
            <w:bookmarkEnd w:id="16"/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</w:p>
        </w:tc>
      </w:tr>
      <w:tr w:rsidR="00357777" w:rsidRPr="00357777" w:rsidTr="00C574A8">
        <w:trPr>
          <w:trHeight w:val="1830"/>
        </w:trPr>
        <w:tc>
          <w:tcPr>
            <w:tcW w:w="249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357777" w:rsidRPr="00357777" w:rsidTr="006C5920">
        <w:trPr>
          <w:trHeight w:val="373"/>
        </w:trPr>
        <w:tc>
          <w:tcPr>
            <w:tcW w:w="249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A1E33" w:rsidRPr="00357777" w:rsidTr="009A1E33">
        <w:trPr>
          <w:trHeight w:val="600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млн. кВт∙ч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0,0421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0,2104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1,1234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103,8086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0,0404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0,2021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1,0790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99,7125</w:t>
            </w:r>
          </w:p>
        </w:tc>
      </w:tr>
      <w:tr w:rsidR="00357777" w:rsidRPr="00357777" w:rsidTr="009A1E33">
        <w:trPr>
          <w:trHeight w:val="315"/>
        </w:trPr>
        <w:tc>
          <w:tcPr>
            <w:tcW w:w="24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</w:tr>
      <w:tr w:rsidR="00357777" w:rsidRPr="00357777" w:rsidTr="000B7201">
        <w:trPr>
          <w:trHeight w:val="259"/>
        </w:trPr>
        <w:tc>
          <w:tcPr>
            <w:tcW w:w="249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17" w:name="RANGE!A63"/>
            <w:r w:rsidRPr="00357777">
              <w:rPr>
                <w:color w:val="000000"/>
                <w:sz w:val="20"/>
                <w:szCs w:val="20"/>
              </w:rPr>
              <w:t>1.1.4</w:t>
            </w:r>
            <w:bookmarkEnd w:id="17"/>
          </w:p>
        </w:tc>
        <w:tc>
          <w:tcPr>
            <w:tcW w:w="4751" w:type="pct"/>
            <w:gridSpan w:val="12"/>
            <w:shd w:val="clear" w:color="auto" w:fill="auto"/>
            <w:noWrap/>
            <w:vAlign w:val="bottom"/>
            <w:hideMark/>
          </w:tcPr>
          <w:p w:rsidR="00357777" w:rsidRPr="00357777" w:rsidRDefault="0035777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357777" w:rsidRPr="00357777" w:rsidTr="000B7201">
        <w:trPr>
          <w:trHeight w:val="278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18" w:name="RANGE!A64"/>
            <w:r w:rsidRPr="00357777">
              <w:rPr>
                <w:color w:val="000000"/>
                <w:sz w:val="20"/>
                <w:szCs w:val="20"/>
              </w:rPr>
              <w:t>1.1.4.1</w:t>
            </w:r>
            <w:bookmarkEnd w:id="18"/>
          </w:p>
        </w:tc>
        <w:tc>
          <w:tcPr>
            <w:tcW w:w="4751" w:type="pct"/>
            <w:gridSpan w:val="12"/>
            <w:shd w:val="clear" w:color="auto" w:fill="auto"/>
            <w:vAlign w:val="center"/>
            <w:hideMark/>
          </w:tcPr>
          <w:p w:rsidR="00357777" w:rsidRPr="00357777" w:rsidRDefault="00357777" w:rsidP="00CC2454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Садоводческие</w:t>
            </w:r>
            <w:r w:rsidR="00CC2454">
              <w:rPr>
                <w:color w:val="000000"/>
                <w:sz w:val="20"/>
                <w:szCs w:val="20"/>
              </w:rPr>
              <w:t xml:space="preserve"> </w:t>
            </w:r>
            <w:r w:rsidR="00C574A8">
              <w:rPr>
                <w:color w:val="000000"/>
                <w:sz w:val="20"/>
                <w:szCs w:val="20"/>
              </w:rPr>
              <w:t>ил</w:t>
            </w:r>
            <w:r w:rsidR="00CC2454">
              <w:rPr>
                <w:color w:val="000000"/>
                <w:sz w:val="20"/>
                <w:szCs w:val="20"/>
              </w:rPr>
              <w:t>и</w:t>
            </w:r>
            <w:r w:rsidRPr="00357777">
              <w:rPr>
                <w:color w:val="000000"/>
                <w:sz w:val="20"/>
                <w:szCs w:val="20"/>
              </w:rPr>
              <w:t xml:space="preserve"> огороднические некоммерческие </w:t>
            </w:r>
            <w:r w:rsidR="00CC2454">
              <w:rPr>
                <w:color w:val="000000"/>
                <w:sz w:val="20"/>
                <w:szCs w:val="20"/>
              </w:rPr>
              <w:t>товарищества</w:t>
            </w:r>
            <w:r w:rsidRPr="00357777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1E33" w:rsidRPr="00357777" w:rsidTr="009A1E33">
        <w:trPr>
          <w:trHeight w:val="690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млн. кВт∙ч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0,7118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0,0258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1,0751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0,0390</w:t>
            </w:r>
          </w:p>
        </w:tc>
      </w:tr>
      <w:tr w:rsidR="00357777" w:rsidRPr="00357777" w:rsidTr="009A1E33">
        <w:trPr>
          <w:trHeight w:val="315"/>
        </w:trPr>
        <w:tc>
          <w:tcPr>
            <w:tcW w:w="24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</w:tr>
      <w:tr w:rsidR="00357777" w:rsidRPr="00357777" w:rsidTr="000B7201">
        <w:trPr>
          <w:trHeight w:val="300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19" w:name="RANGE!A67"/>
            <w:r w:rsidRPr="00357777">
              <w:rPr>
                <w:color w:val="000000"/>
                <w:sz w:val="20"/>
                <w:szCs w:val="20"/>
              </w:rPr>
              <w:t>1.1.4.2</w:t>
            </w:r>
            <w:bookmarkEnd w:id="19"/>
          </w:p>
        </w:tc>
        <w:tc>
          <w:tcPr>
            <w:tcW w:w="4751" w:type="pct"/>
            <w:gridSpan w:val="12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9A1E33" w:rsidRPr="00357777" w:rsidTr="009A1E33">
        <w:trPr>
          <w:trHeight w:val="585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shd w:val="clear" w:color="auto" w:fill="auto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млн. кВт∙ч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0,4165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0,0622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0,4165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0,0622</w:t>
            </w:r>
          </w:p>
        </w:tc>
      </w:tr>
      <w:tr w:rsidR="00357777" w:rsidRPr="00357777" w:rsidTr="009A1E33">
        <w:trPr>
          <w:trHeight w:val="315"/>
        </w:trPr>
        <w:tc>
          <w:tcPr>
            <w:tcW w:w="24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</w:tr>
      <w:tr w:rsidR="00357777" w:rsidRPr="00357777" w:rsidTr="000B7201">
        <w:trPr>
          <w:trHeight w:val="315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20" w:name="RANGE!A70"/>
            <w:r w:rsidRPr="00357777">
              <w:rPr>
                <w:color w:val="000000"/>
                <w:sz w:val="20"/>
                <w:szCs w:val="20"/>
              </w:rPr>
              <w:t>1.1.4.3</w:t>
            </w:r>
            <w:bookmarkEnd w:id="20"/>
          </w:p>
        </w:tc>
        <w:tc>
          <w:tcPr>
            <w:tcW w:w="4751" w:type="pct"/>
            <w:gridSpan w:val="12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</w:tc>
      </w:tr>
      <w:tr w:rsidR="009A1E33" w:rsidRPr="00357777" w:rsidTr="009A1E33">
        <w:trPr>
          <w:trHeight w:val="645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 xml:space="preserve">Плановый объем полезного отпуска электрической энергии (в том числе с учетом </w:t>
            </w:r>
            <w:r w:rsidRPr="00357777">
              <w:rPr>
                <w:color w:val="000000"/>
                <w:sz w:val="20"/>
                <w:szCs w:val="20"/>
              </w:rPr>
              <w:lastRenderedPageBreak/>
              <w:t>дифференциации по двум и по трем зонам суток)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lastRenderedPageBreak/>
              <w:t>млн. кВт∙ч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0,0065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0,0305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0,0049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0,0230</w:t>
            </w:r>
          </w:p>
        </w:tc>
      </w:tr>
      <w:tr w:rsidR="00357777" w:rsidRPr="00357777" w:rsidTr="009A1E33">
        <w:trPr>
          <w:trHeight w:val="315"/>
        </w:trPr>
        <w:tc>
          <w:tcPr>
            <w:tcW w:w="24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</w:tr>
      <w:tr w:rsidR="00357777" w:rsidRPr="00357777" w:rsidTr="000B7201">
        <w:trPr>
          <w:trHeight w:val="900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21" w:name="RANGE!A73"/>
            <w:r w:rsidRPr="00357777">
              <w:rPr>
                <w:color w:val="000000"/>
                <w:sz w:val="20"/>
                <w:szCs w:val="20"/>
              </w:rPr>
              <w:lastRenderedPageBreak/>
              <w:t>1.1.4.4</w:t>
            </w:r>
            <w:bookmarkEnd w:id="21"/>
          </w:p>
        </w:tc>
        <w:tc>
          <w:tcPr>
            <w:tcW w:w="4751" w:type="pct"/>
            <w:gridSpan w:val="12"/>
            <w:shd w:val="clear" w:color="auto" w:fill="auto"/>
            <w:hideMark/>
          </w:tcPr>
          <w:p w:rsidR="00357777" w:rsidRPr="00357777" w:rsidRDefault="0035777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C574A8" w:rsidRPr="00357777" w:rsidTr="009A1E33">
        <w:trPr>
          <w:trHeight w:val="630"/>
        </w:trPr>
        <w:tc>
          <w:tcPr>
            <w:tcW w:w="249" w:type="pct"/>
            <w:vMerge/>
            <w:vAlign w:val="center"/>
            <w:hideMark/>
          </w:tcPr>
          <w:p w:rsidR="00C574A8" w:rsidRPr="00357777" w:rsidRDefault="00C574A8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shd w:val="clear" w:color="auto" w:fill="auto"/>
            <w:hideMark/>
          </w:tcPr>
          <w:p w:rsidR="00C574A8" w:rsidRPr="00357777" w:rsidRDefault="00C574A8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:rsidR="00C574A8" w:rsidRPr="00357777" w:rsidRDefault="00C574A8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млн. кВт∙ч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0,0000</w:t>
            </w:r>
          </w:p>
        </w:tc>
      </w:tr>
      <w:tr w:rsidR="00357777" w:rsidRPr="00357777" w:rsidTr="009A1E33">
        <w:trPr>
          <w:trHeight w:val="315"/>
        </w:trPr>
        <w:tc>
          <w:tcPr>
            <w:tcW w:w="24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</w:tr>
      <w:tr w:rsidR="00357777" w:rsidRPr="00357777" w:rsidTr="000B7201">
        <w:trPr>
          <w:trHeight w:val="645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22" w:name="RANGE!A76"/>
            <w:r w:rsidRPr="00357777">
              <w:rPr>
                <w:color w:val="000000"/>
                <w:sz w:val="20"/>
                <w:szCs w:val="20"/>
              </w:rPr>
              <w:t>1.1.4.5</w:t>
            </w:r>
            <w:bookmarkEnd w:id="22"/>
          </w:p>
        </w:tc>
        <w:tc>
          <w:tcPr>
            <w:tcW w:w="4751" w:type="pct"/>
            <w:gridSpan w:val="12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9A1E33" w:rsidRPr="00357777" w:rsidTr="009A1E33">
        <w:trPr>
          <w:trHeight w:val="600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shd w:val="clear" w:color="auto" w:fill="auto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млн. кВт∙ч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0,1553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0,0545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0,5073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0,1091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0,1764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0,0619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0,5760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0,1238</w:t>
            </w:r>
          </w:p>
        </w:tc>
      </w:tr>
      <w:tr w:rsidR="00357777" w:rsidRPr="00357777" w:rsidTr="009A1E33">
        <w:trPr>
          <w:trHeight w:val="315"/>
        </w:trPr>
        <w:tc>
          <w:tcPr>
            <w:tcW w:w="24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</w:tr>
      <w:tr w:rsidR="00357777" w:rsidRPr="00357777" w:rsidTr="006C5920">
        <w:trPr>
          <w:trHeight w:val="315"/>
        </w:trPr>
        <w:tc>
          <w:tcPr>
            <w:tcW w:w="249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23" w:name="RANGE!A79"/>
            <w:r w:rsidRPr="00357777">
              <w:rPr>
                <w:color w:val="000000"/>
                <w:sz w:val="20"/>
                <w:szCs w:val="20"/>
              </w:rPr>
              <w:t>1.2</w:t>
            </w:r>
            <w:bookmarkEnd w:id="23"/>
          </w:p>
        </w:tc>
        <w:tc>
          <w:tcPr>
            <w:tcW w:w="4751" w:type="pct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77" w:rsidRPr="00357777" w:rsidRDefault="0035777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Население и приравненные к нему категории потребителей (сверх социальной нормы потребления электроэнергии):</w:t>
            </w:r>
          </w:p>
        </w:tc>
      </w:tr>
      <w:tr w:rsidR="00357777" w:rsidRPr="00357777" w:rsidTr="006C5920">
        <w:trPr>
          <w:trHeight w:val="300"/>
        </w:trPr>
        <w:tc>
          <w:tcPr>
            <w:tcW w:w="24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24" w:name="RANGE!A80"/>
            <w:r w:rsidRPr="00357777">
              <w:rPr>
                <w:color w:val="000000"/>
                <w:sz w:val="20"/>
                <w:szCs w:val="20"/>
              </w:rPr>
              <w:t>1.2.1</w:t>
            </w:r>
            <w:bookmarkEnd w:id="24"/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outlineLvl w:val="0"/>
              <w:rPr>
                <w:sz w:val="20"/>
                <w:szCs w:val="20"/>
              </w:rPr>
            </w:pPr>
            <w:r w:rsidRPr="00357777">
              <w:rPr>
                <w:sz w:val="20"/>
                <w:szCs w:val="20"/>
              </w:rPr>
              <w:t>Население и приравненные к нему категории потребителей, за исключением указанного в пунктах 1.2.2 и 1.2.3:</w:t>
            </w:r>
          </w:p>
        </w:tc>
      </w:tr>
      <w:tr w:rsidR="00357777" w:rsidRPr="00357777" w:rsidTr="006C5920">
        <w:trPr>
          <w:trHeight w:val="1740"/>
        </w:trPr>
        <w:tc>
          <w:tcPr>
            <w:tcW w:w="249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357777" w:rsidRPr="00357777" w:rsidTr="006C5920">
        <w:trPr>
          <w:trHeight w:val="499"/>
        </w:trPr>
        <w:tc>
          <w:tcPr>
            <w:tcW w:w="249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A1E33" w:rsidRPr="00357777" w:rsidTr="009A1E33">
        <w:trPr>
          <w:trHeight w:val="675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 xml:space="preserve">Плановый объем полезного отпуска электрической энергии (в том числе с учетом </w:t>
            </w:r>
            <w:r w:rsidRPr="00357777">
              <w:rPr>
                <w:color w:val="000000"/>
                <w:sz w:val="20"/>
                <w:szCs w:val="20"/>
              </w:rPr>
              <w:lastRenderedPageBreak/>
              <w:t>дифференциации по двум и по трем зонам суток)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lastRenderedPageBreak/>
              <w:t>млн. кВт∙ч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0,0960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0,0554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3,7200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36,6138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0,0886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0,0511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3,4320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32,9280</w:t>
            </w:r>
          </w:p>
        </w:tc>
      </w:tr>
      <w:tr w:rsidR="00357777" w:rsidRPr="00357777" w:rsidTr="009A1E33">
        <w:trPr>
          <w:trHeight w:val="315"/>
        </w:trPr>
        <w:tc>
          <w:tcPr>
            <w:tcW w:w="24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</w:tr>
      <w:tr w:rsidR="00357777" w:rsidRPr="00357777" w:rsidTr="006C5920">
        <w:trPr>
          <w:trHeight w:val="300"/>
        </w:trPr>
        <w:tc>
          <w:tcPr>
            <w:tcW w:w="24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25" w:name="RANGE!A85"/>
            <w:r w:rsidRPr="00357777">
              <w:rPr>
                <w:color w:val="000000"/>
                <w:sz w:val="20"/>
                <w:szCs w:val="20"/>
              </w:rPr>
              <w:lastRenderedPageBreak/>
              <w:t>1.2.2</w:t>
            </w:r>
            <w:bookmarkEnd w:id="25"/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Население, проживающее в городских населенных пунктах в домах,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57777">
              <w:rPr>
                <w:color w:val="000000"/>
                <w:sz w:val="20"/>
                <w:szCs w:val="20"/>
              </w:rPr>
              <w:t>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</w:tc>
      </w:tr>
      <w:tr w:rsidR="00357777" w:rsidRPr="00357777" w:rsidTr="006C5920">
        <w:trPr>
          <w:trHeight w:val="1800"/>
        </w:trPr>
        <w:tc>
          <w:tcPr>
            <w:tcW w:w="249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фондам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лиц;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357777" w:rsidRPr="00357777" w:rsidTr="006C5920">
        <w:trPr>
          <w:trHeight w:val="389"/>
        </w:trPr>
        <w:tc>
          <w:tcPr>
            <w:tcW w:w="249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A1E33" w:rsidRPr="00357777" w:rsidTr="009A1E33">
        <w:trPr>
          <w:trHeight w:val="645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млн. кВт∙ч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0,1128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0,0650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4,3670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42,9814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0,1040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0,0600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4,0289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38,6546</w:t>
            </w:r>
          </w:p>
        </w:tc>
      </w:tr>
      <w:tr w:rsidR="00357777" w:rsidRPr="00357777" w:rsidTr="009A1E33">
        <w:trPr>
          <w:trHeight w:val="315"/>
        </w:trPr>
        <w:tc>
          <w:tcPr>
            <w:tcW w:w="24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</w:tr>
      <w:tr w:rsidR="00357777" w:rsidRPr="00357777" w:rsidTr="006C5920">
        <w:trPr>
          <w:trHeight w:val="165"/>
        </w:trPr>
        <w:tc>
          <w:tcPr>
            <w:tcW w:w="24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26" w:name="RANGE!A90"/>
            <w:r w:rsidRPr="00357777">
              <w:rPr>
                <w:color w:val="000000"/>
                <w:sz w:val="20"/>
                <w:szCs w:val="20"/>
              </w:rPr>
              <w:t>1.2.3</w:t>
            </w:r>
            <w:bookmarkEnd w:id="26"/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</w:p>
        </w:tc>
      </w:tr>
      <w:tr w:rsidR="00357777" w:rsidRPr="00357777" w:rsidTr="006C5920">
        <w:trPr>
          <w:trHeight w:val="615"/>
        </w:trPr>
        <w:tc>
          <w:tcPr>
            <w:tcW w:w="249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</w:tr>
      <w:tr w:rsidR="00357777" w:rsidRPr="00357777" w:rsidTr="006C5920">
        <w:trPr>
          <w:trHeight w:val="1185"/>
        </w:trPr>
        <w:tc>
          <w:tcPr>
            <w:tcW w:w="249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357777" w:rsidRPr="00357777" w:rsidTr="006C5920">
        <w:trPr>
          <w:trHeight w:val="327"/>
        </w:trPr>
        <w:tc>
          <w:tcPr>
            <w:tcW w:w="249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A1E33" w:rsidRPr="00357777" w:rsidTr="009A1E33">
        <w:trPr>
          <w:trHeight w:val="630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млн. кВт∙ч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0,0107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0,0537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2,8692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23,9316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0,0111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0,0554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2,9608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24,6952</w:t>
            </w:r>
          </w:p>
        </w:tc>
      </w:tr>
      <w:tr w:rsidR="00357777" w:rsidRPr="00357777" w:rsidTr="009A1E33">
        <w:trPr>
          <w:trHeight w:val="315"/>
        </w:trPr>
        <w:tc>
          <w:tcPr>
            <w:tcW w:w="24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</w:tr>
      <w:tr w:rsidR="00357777" w:rsidRPr="00357777" w:rsidTr="000B7201">
        <w:trPr>
          <w:trHeight w:val="226"/>
        </w:trPr>
        <w:tc>
          <w:tcPr>
            <w:tcW w:w="249" w:type="pc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27" w:name="RANGE!A96"/>
            <w:r w:rsidRPr="00357777">
              <w:rPr>
                <w:color w:val="000000"/>
                <w:sz w:val="20"/>
                <w:szCs w:val="20"/>
              </w:rPr>
              <w:lastRenderedPageBreak/>
              <w:t>1.2.4</w:t>
            </w:r>
            <w:bookmarkEnd w:id="27"/>
          </w:p>
        </w:tc>
        <w:tc>
          <w:tcPr>
            <w:tcW w:w="4751" w:type="pct"/>
            <w:gridSpan w:val="12"/>
            <w:shd w:val="clear" w:color="auto" w:fill="auto"/>
            <w:noWrap/>
            <w:vAlign w:val="bottom"/>
            <w:hideMark/>
          </w:tcPr>
          <w:p w:rsidR="00357777" w:rsidRPr="00357777" w:rsidRDefault="0035777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357777" w:rsidRPr="00357777" w:rsidTr="000B7201">
        <w:trPr>
          <w:trHeight w:val="179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28" w:name="RANGE!A97"/>
            <w:r w:rsidRPr="00357777">
              <w:rPr>
                <w:color w:val="000000"/>
                <w:sz w:val="20"/>
                <w:szCs w:val="20"/>
              </w:rPr>
              <w:t>1.2.4.1</w:t>
            </w:r>
            <w:bookmarkEnd w:id="28"/>
          </w:p>
        </w:tc>
        <w:tc>
          <w:tcPr>
            <w:tcW w:w="4751" w:type="pct"/>
            <w:gridSpan w:val="12"/>
            <w:shd w:val="clear" w:color="auto" w:fill="auto"/>
            <w:vAlign w:val="center"/>
            <w:hideMark/>
          </w:tcPr>
          <w:p w:rsidR="00357777" w:rsidRPr="00357777" w:rsidRDefault="00357777" w:rsidP="00CC2454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Садоводческие</w:t>
            </w:r>
            <w:r w:rsidR="00CC2454">
              <w:rPr>
                <w:color w:val="000000"/>
                <w:sz w:val="20"/>
                <w:szCs w:val="20"/>
              </w:rPr>
              <w:t xml:space="preserve"> и</w:t>
            </w:r>
            <w:r w:rsidR="00C574A8">
              <w:rPr>
                <w:color w:val="000000"/>
                <w:sz w:val="20"/>
                <w:szCs w:val="20"/>
              </w:rPr>
              <w:t>ли</w:t>
            </w:r>
            <w:r w:rsidRPr="00357777">
              <w:rPr>
                <w:color w:val="000000"/>
                <w:sz w:val="20"/>
                <w:szCs w:val="20"/>
              </w:rPr>
              <w:t xml:space="preserve"> огороднические некоммерческие </w:t>
            </w:r>
            <w:r w:rsidR="00CC2454">
              <w:rPr>
                <w:color w:val="000000"/>
                <w:sz w:val="20"/>
                <w:szCs w:val="20"/>
              </w:rPr>
              <w:t>товарищества</w:t>
            </w:r>
            <w:r w:rsidRPr="00357777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1E33" w:rsidRPr="00357777" w:rsidTr="009A1E33">
        <w:trPr>
          <w:trHeight w:val="675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млн. кВт∙ч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0,2357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10,2796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0,3972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0,2710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11,8192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0,4567</w:t>
            </w:r>
          </w:p>
        </w:tc>
      </w:tr>
      <w:tr w:rsidR="00357777" w:rsidRPr="00357777" w:rsidTr="009A1E33">
        <w:trPr>
          <w:trHeight w:val="315"/>
        </w:trPr>
        <w:tc>
          <w:tcPr>
            <w:tcW w:w="24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</w:tr>
      <w:tr w:rsidR="00357777" w:rsidRPr="00357777" w:rsidTr="000B7201">
        <w:trPr>
          <w:trHeight w:val="300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29" w:name="RANGE!A100"/>
            <w:r w:rsidRPr="00357777">
              <w:rPr>
                <w:color w:val="000000"/>
                <w:sz w:val="20"/>
                <w:szCs w:val="20"/>
              </w:rPr>
              <w:t>1.2.4.2</w:t>
            </w:r>
            <w:bookmarkEnd w:id="29"/>
          </w:p>
        </w:tc>
        <w:tc>
          <w:tcPr>
            <w:tcW w:w="4751" w:type="pct"/>
            <w:gridSpan w:val="12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9A1E33" w:rsidRPr="00357777" w:rsidTr="009A1E33">
        <w:trPr>
          <w:trHeight w:val="690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млн. кВт∙ч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1,3382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0,0471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0,8665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0,0305</w:t>
            </w:r>
          </w:p>
        </w:tc>
      </w:tr>
      <w:tr w:rsidR="00357777" w:rsidRPr="00357777" w:rsidTr="009A1E33">
        <w:trPr>
          <w:trHeight w:val="315"/>
        </w:trPr>
        <w:tc>
          <w:tcPr>
            <w:tcW w:w="24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</w:tr>
      <w:tr w:rsidR="00357777" w:rsidRPr="00357777" w:rsidTr="000B7201">
        <w:trPr>
          <w:trHeight w:val="300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30" w:name="RANGE!A103"/>
            <w:r w:rsidRPr="00357777">
              <w:rPr>
                <w:color w:val="000000"/>
                <w:sz w:val="20"/>
                <w:szCs w:val="20"/>
              </w:rPr>
              <w:t>1.2.4.3</w:t>
            </w:r>
            <w:bookmarkEnd w:id="30"/>
          </w:p>
        </w:tc>
        <w:tc>
          <w:tcPr>
            <w:tcW w:w="4751" w:type="pct"/>
            <w:gridSpan w:val="12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</w:tc>
      </w:tr>
      <w:tr w:rsidR="009A1E33" w:rsidRPr="00357777" w:rsidTr="009A1E33">
        <w:trPr>
          <w:trHeight w:val="690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млн. кВт∙ч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0,5813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0,2994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0,4633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0,2387</w:t>
            </w:r>
          </w:p>
        </w:tc>
      </w:tr>
      <w:tr w:rsidR="00357777" w:rsidRPr="00357777" w:rsidTr="009A1E33">
        <w:trPr>
          <w:trHeight w:val="315"/>
        </w:trPr>
        <w:tc>
          <w:tcPr>
            <w:tcW w:w="249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57777" w:rsidRPr="00357777" w:rsidRDefault="00357777" w:rsidP="00357777">
            <w:pPr>
              <w:rPr>
                <w:color w:val="000000"/>
                <w:sz w:val="20"/>
                <w:szCs w:val="20"/>
              </w:rPr>
            </w:pPr>
          </w:p>
        </w:tc>
      </w:tr>
      <w:tr w:rsidR="00357777" w:rsidRPr="00357777" w:rsidTr="000B7201">
        <w:trPr>
          <w:trHeight w:val="930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31" w:name="RANGE!A106"/>
            <w:r w:rsidRPr="00357777">
              <w:rPr>
                <w:color w:val="000000"/>
                <w:sz w:val="20"/>
                <w:szCs w:val="20"/>
              </w:rPr>
              <w:t>1.2.4.4</w:t>
            </w:r>
            <w:bookmarkEnd w:id="31"/>
          </w:p>
        </w:tc>
        <w:tc>
          <w:tcPr>
            <w:tcW w:w="4751" w:type="pct"/>
            <w:gridSpan w:val="12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C574A8" w:rsidRPr="00357777" w:rsidTr="009A1E33">
        <w:trPr>
          <w:trHeight w:val="389"/>
        </w:trPr>
        <w:tc>
          <w:tcPr>
            <w:tcW w:w="249" w:type="pct"/>
            <w:vMerge/>
            <w:vAlign w:val="center"/>
            <w:hideMark/>
          </w:tcPr>
          <w:p w:rsidR="00C574A8" w:rsidRPr="00357777" w:rsidRDefault="00C574A8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C574A8" w:rsidRPr="00357777" w:rsidRDefault="00C574A8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C574A8" w:rsidRPr="00357777" w:rsidRDefault="00C574A8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млн. кВт∙ч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0,0000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C574A8" w:rsidRPr="00C574A8" w:rsidRDefault="00C574A8" w:rsidP="00C574A8">
            <w:pPr>
              <w:ind w:left="-88" w:right="-79"/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C574A8">
              <w:rPr>
                <w:color w:val="000000"/>
                <w:sz w:val="20"/>
                <w:szCs w:val="22"/>
              </w:rPr>
              <w:t>0,0000</w:t>
            </w:r>
          </w:p>
        </w:tc>
      </w:tr>
      <w:tr w:rsidR="00357777" w:rsidRPr="00357777" w:rsidTr="000B7201">
        <w:trPr>
          <w:trHeight w:val="799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32" w:name="RANGE!A108"/>
            <w:r w:rsidRPr="00357777">
              <w:rPr>
                <w:color w:val="000000"/>
                <w:sz w:val="20"/>
                <w:szCs w:val="20"/>
              </w:rPr>
              <w:t>1.2.4.5</w:t>
            </w:r>
            <w:bookmarkEnd w:id="32"/>
          </w:p>
        </w:tc>
        <w:tc>
          <w:tcPr>
            <w:tcW w:w="4751" w:type="pct"/>
            <w:gridSpan w:val="12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9A1E33" w:rsidRPr="00357777" w:rsidTr="009A1E33">
        <w:trPr>
          <w:trHeight w:val="690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млн. кВт∙ч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0,4242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0,0073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5,8001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1,0825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0,3902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0,0067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5,3344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0,9956</w:t>
            </w:r>
          </w:p>
        </w:tc>
      </w:tr>
      <w:tr w:rsidR="009A1E33" w:rsidRPr="00357777" w:rsidTr="009A1E33">
        <w:trPr>
          <w:trHeight w:val="315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</w:tr>
      <w:tr w:rsidR="009A1E33" w:rsidRPr="00357777" w:rsidTr="009A1E33">
        <w:trPr>
          <w:trHeight w:val="600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33" w:name="RANGE!A111"/>
            <w:r w:rsidRPr="00357777">
              <w:rPr>
                <w:color w:val="000000"/>
                <w:sz w:val="20"/>
                <w:szCs w:val="20"/>
              </w:rPr>
              <w:t>1.3</w:t>
            </w:r>
            <w:bookmarkEnd w:id="33"/>
          </w:p>
        </w:tc>
        <w:tc>
          <w:tcPr>
            <w:tcW w:w="821" w:type="pct"/>
            <w:vMerge w:val="restart"/>
            <w:shd w:val="clear" w:color="auto" w:fill="auto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млн. кВт∙ч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1 691,20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467,97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41,52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298,91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157,76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1 609,92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439,13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38,97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280,59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148,09</w:t>
            </w:r>
          </w:p>
        </w:tc>
      </w:tr>
      <w:tr w:rsidR="009A1E33" w:rsidRPr="00357777" w:rsidTr="009A1E33">
        <w:trPr>
          <w:trHeight w:val="315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9A1E33" w:rsidRPr="009A1E33" w:rsidRDefault="009A1E33" w:rsidP="00C574A8">
            <w:pPr>
              <w:ind w:left="-88" w:right="-79"/>
              <w:rPr>
                <w:color w:val="000000"/>
                <w:sz w:val="20"/>
                <w:szCs w:val="20"/>
              </w:rPr>
            </w:pPr>
          </w:p>
        </w:tc>
      </w:tr>
      <w:tr w:rsidR="009A1E33" w:rsidRPr="00357777" w:rsidTr="009A1E33">
        <w:trPr>
          <w:trHeight w:val="1200"/>
        </w:trPr>
        <w:tc>
          <w:tcPr>
            <w:tcW w:w="249" w:type="pc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354,01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119,57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8,62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77,44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146,50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364,08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97,62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10,08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81,30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128,99</w:t>
            </w:r>
          </w:p>
        </w:tc>
      </w:tr>
      <w:tr w:rsidR="00357777" w:rsidRPr="00357777" w:rsidTr="000B7201">
        <w:trPr>
          <w:trHeight w:val="315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34" w:name="RANGE!A114"/>
            <w:r w:rsidRPr="00357777">
              <w:rPr>
                <w:color w:val="000000"/>
                <w:sz w:val="20"/>
                <w:szCs w:val="20"/>
              </w:rPr>
              <w:t>2.1</w:t>
            </w:r>
            <w:bookmarkEnd w:id="34"/>
          </w:p>
        </w:tc>
        <w:tc>
          <w:tcPr>
            <w:tcW w:w="4751" w:type="pct"/>
            <w:gridSpan w:val="12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9A1E33" w:rsidRPr="00357777" w:rsidTr="009A1E33">
        <w:trPr>
          <w:trHeight w:val="705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0,20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0,15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6,33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78,12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0,19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0,15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6,06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73,75</w:t>
            </w:r>
          </w:p>
        </w:tc>
      </w:tr>
      <w:tr w:rsidR="00357777" w:rsidRPr="00357777" w:rsidTr="000B7201">
        <w:trPr>
          <w:trHeight w:val="223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357777" w:rsidRPr="00357777" w:rsidRDefault="00357777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35" w:name="RANGE!A116"/>
            <w:r w:rsidRPr="00357777">
              <w:rPr>
                <w:color w:val="000000"/>
                <w:sz w:val="20"/>
                <w:szCs w:val="20"/>
              </w:rPr>
              <w:t>2.2</w:t>
            </w:r>
            <w:bookmarkEnd w:id="35"/>
          </w:p>
        </w:tc>
        <w:tc>
          <w:tcPr>
            <w:tcW w:w="4751" w:type="pct"/>
            <w:gridSpan w:val="12"/>
            <w:shd w:val="clear" w:color="auto" w:fill="auto"/>
            <w:noWrap/>
            <w:vAlign w:val="bottom"/>
            <w:hideMark/>
          </w:tcPr>
          <w:p w:rsidR="00357777" w:rsidRPr="00357777" w:rsidRDefault="00357777" w:rsidP="00357777">
            <w:pPr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Население и приравненные к нему категории потребителей (сверх социальной нормы потребления электроэнергии):</w:t>
            </w:r>
          </w:p>
        </w:tc>
      </w:tr>
      <w:tr w:rsidR="009A1E33" w:rsidRPr="00357777" w:rsidTr="009A1E33">
        <w:trPr>
          <w:trHeight w:val="389"/>
        </w:trPr>
        <w:tc>
          <w:tcPr>
            <w:tcW w:w="249" w:type="pct"/>
            <w:vMerge/>
            <w:vAlign w:val="center"/>
            <w:hideMark/>
          </w:tcPr>
          <w:p w:rsidR="009A1E33" w:rsidRPr="00357777" w:rsidRDefault="009A1E33" w:rsidP="0035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0,17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0,11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7,77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28,27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0,16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0,12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7,76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26,30</w:t>
            </w:r>
          </w:p>
        </w:tc>
      </w:tr>
      <w:tr w:rsidR="009A1E33" w:rsidRPr="00357777" w:rsidTr="009A1E33">
        <w:trPr>
          <w:trHeight w:val="1500"/>
        </w:trPr>
        <w:tc>
          <w:tcPr>
            <w:tcW w:w="249" w:type="pc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9A1E33" w:rsidRPr="00357777" w:rsidRDefault="009A1E33" w:rsidP="0035777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57777"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354,01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119,20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8,35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63,34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40,10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364,08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97,27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9,81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67,47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28,94</w:t>
            </w:r>
          </w:p>
        </w:tc>
      </w:tr>
    </w:tbl>
    <w:p w:rsidR="002A46A5" w:rsidRDefault="002A46A5" w:rsidP="002A46A5"/>
    <w:p w:rsidR="002A46A5" w:rsidRPr="002A46A5" w:rsidRDefault="002A46A5" w:rsidP="002A46A5"/>
    <w:p w:rsidR="00076138" w:rsidRDefault="00076138" w:rsidP="0007613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2A46A5" w:rsidRDefault="002A46A5" w:rsidP="0007613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  <w:sectPr w:rsidR="002A46A5" w:rsidSect="00763230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076138" w:rsidRPr="00076138" w:rsidRDefault="00AE14D4" w:rsidP="00AE14D4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Таблица 4</w:t>
      </w:r>
    </w:p>
    <w:p w:rsidR="0074354A" w:rsidRPr="00076138" w:rsidRDefault="0074354A" w:rsidP="00076138">
      <w:pPr>
        <w:tabs>
          <w:tab w:val="left" w:pos="6521"/>
        </w:tabs>
        <w:ind w:left="-284" w:right="-2"/>
        <w:jc w:val="right"/>
        <w:rPr>
          <w:sz w:val="28"/>
          <w:szCs w:val="28"/>
        </w:rPr>
      </w:pPr>
    </w:p>
    <w:p w:rsidR="00763230" w:rsidRDefault="00763230" w:rsidP="00AE14D4">
      <w:pPr>
        <w:pStyle w:val="1"/>
        <w:rPr>
          <w:sz w:val="28"/>
          <w:szCs w:val="28"/>
        </w:rPr>
      </w:pPr>
      <w:r w:rsidRPr="00236A7E">
        <w:rPr>
          <w:sz w:val="28"/>
          <w:szCs w:val="28"/>
        </w:rPr>
        <w:t xml:space="preserve">ЕДИНЫЕ (КОТЛОВЫЕ) ТАРИФЫ </w:t>
      </w:r>
    </w:p>
    <w:p w:rsidR="00236A7E" w:rsidRDefault="00236A7E" w:rsidP="00AE14D4">
      <w:pPr>
        <w:pStyle w:val="1"/>
        <w:rPr>
          <w:sz w:val="28"/>
          <w:szCs w:val="28"/>
        </w:rPr>
      </w:pPr>
      <w:r w:rsidRPr="00236A7E">
        <w:rPr>
          <w:sz w:val="28"/>
          <w:szCs w:val="28"/>
        </w:rPr>
        <w:t xml:space="preserve">на услуги по передаче электрической энергии по сетям </w:t>
      </w:r>
      <w:r w:rsidR="00B12E0F">
        <w:rPr>
          <w:sz w:val="28"/>
          <w:szCs w:val="28"/>
        </w:rPr>
        <w:t>Забайкальского края</w:t>
      </w:r>
      <w:r w:rsidRPr="00236A7E">
        <w:rPr>
          <w:sz w:val="28"/>
          <w:szCs w:val="28"/>
        </w:rPr>
        <w:t>, поставляемой населению и приравненным к нему категориям потребителе</w:t>
      </w:r>
      <w:r>
        <w:rPr>
          <w:sz w:val="28"/>
          <w:szCs w:val="28"/>
        </w:rPr>
        <w:t xml:space="preserve">й </w:t>
      </w:r>
      <w:r w:rsidRPr="00236A7E">
        <w:rPr>
          <w:sz w:val="28"/>
          <w:szCs w:val="28"/>
        </w:rPr>
        <w:t xml:space="preserve">на </w:t>
      </w:r>
      <w:r w:rsidR="00CC2454">
        <w:rPr>
          <w:sz w:val="28"/>
          <w:szCs w:val="28"/>
        </w:rPr>
        <w:t>2020</w:t>
      </w:r>
      <w:r w:rsidRPr="00236A7E">
        <w:rPr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6003"/>
        <w:gridCol w:w="3863"/>
        <w:gridCol w:w="2324"/>
        <w:gridCol w:w="2205"/>
      </w:tblGrid>
      <w:tr w:rsidR="003848DA" w:rsidRPr="00403A39" w:rsidTr="006C5920">
        <w:trPr>
          <w:trHeight w:val="665"/>
          <w:tblHeader/>
        </w:trPr>
        <w:tc>
          <w:tcPr>
            <w:tcW w:w="312" w:type="pct"/>
            <w:shd w:val="clear" w:color="auto" w:fill="auto"/>
            <w:vAlign w:val="center"/>
            <w:hideMark/>
          </w:tcPr>
          <w:p w:rsidR="003848DA" w:rsidRPr="00403A39" w:rsidRDefault="003848DA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Pr="00403A39">
              <w:rPr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3848DA" w:rsidRPr="00403A39" w:rsidRDefault="003848DA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58" w:type="pct"/>
            <w:shd w:val="clear" w:color="auto" w:fill="auto"/>
            <w:vAlign w:val="center"/>
            <w:hideMark/>
          </w:tcPr>
          <w:p w:rsidR="003848DA" w:rsidRPr="00403A39" w:rsidRDefault="003848DA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3848DA" w:rsidRPr="00606EB0" w:rsidRDefault="003848DA" w:rsidP="00736277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606EB0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606EB0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3848DA" w:rsidRPr="00606EB0" w:rsidRDefault="003848DA" w:rsidP="00736277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606EB0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606EB0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403A39" w:rsidRPr="00403A39" w:rsidTr="006C5920">
        <w:trPr>
          <w:trHeight w:val="300"/>
          <w:tblHeader/>
        </w:trPr>
        <w:tc>
          <w:tcPr>
            <w:tcW w:w="312" w:type="pct"/>
            <w:shd w:val="clear" w:color="auto" w:fill="auto"/>
            <w:vAlign w:val="center"/>
            <w:hideMark/>
          </w:tcPr>
          <w:p w:rsidR="00403A39" w:rsidRPr="00403A39" w:rsidRDefault="00403A39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403A39" w:rsidRPr="00403A39" w:rsidRDefault="00403A39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8" w:type="pct"/>
            <w:shd w:val="clear" w:color="auto" w:fill="auto"/>
            <w:vAlign w:val="center"/>
            <w:hideMark/>
          </w:tcPr>
          <w:p w:rsidR="00403A39" w:rsidRPr="00403A39" w:rsidRDefault="00403A39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403A39" w:rsidRPr="00403A39" w:rsidRDefault="00403A39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03A39" w:rsidRPr="00403A39" w:rsidRDefault="00403A39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5</w:t>
            </w:r>
          </w:p>
        </w:tc>
      </w:tr>
      <w:tr w:rsidR="00403A39" w:rsidRPr="00403A39" w:rsidTr="000B7201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403A39" w:rsidRPr="00403A39" w:rsidRDefault="00403A39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36" w:name="RANGE!A125"/>
            <w:r w:rsidRPr="00403A39">
              <w:rPr>
                <w:color w:val="000000"/>
                <w:sz w:val="20"/>
                <w:szCs w:val="20"/>
              </w:rPr>
              <w:t>1</w:t>
            </w:r>
            <w:bookmarkEnd w:id="36"/>
          </w:p>
        </w:tc>
        <w:tc>
          <w:tcPr>
            <w:tcW w:w="4688" w:type="pct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403A39" w:rsidRPr="00403A39" w:rsidRDefault="00403A39" w:rsidP="00403A39">
            <w:pPr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 xml:space="preserve">Население и приравненные к нему категории потребителей (в пределах социальной нормы потребления электроэнергии) (тарифы указываются без учета НДС) </w:t>
            </w:r>
          </w:p>
        </w:tc>
      </w:tr>
      <w:tr w:rsidR="00403A39" w:rsidRPr="00403A39" w:rsidTr="000B7201">
        <w:trPr>
          <w:trHeight w:val="252"/>
        </w:trPr>
        <w:tc>
          <w:tcPr>
            <w:tcW w:w="31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39" w:rsidRPr="00403A39" w:rsidRDefault="00403A39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37" w:name="RANGE!A126"/>
            <w:r w:rsidRPr="00403A39">
              <w:rPr>
                <w:color w:val="000000"/>
                <w:sz w:val="20"/>
                <w:szCs w:val="20"/>
              </w:rPr>
              <w:t>1.1</w:t>
            </w:r>
            <w:bookmarkEnd w:id="37"/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39" w:rsidRPr="00403A39" w:rsidRDefault="006C5920" w:rsidP="00403A39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Население и </w:t>
            </w:r>
            <w:r w:rsidR="00403A39" w:rsidRPr="00403A39">
              <w:rPr>
                <w:sz w:val="20"/>
                <w:szCs w:val="20"/>
              </w:rPr>
              <w:t>приравненные к нему категории потребителей, за исключением указанного в пунктах 1.2 и 1.3:</w:t>
            </w:r>
          </w:p>
        </w:tc>
      </w:tr>
      <w:tr w:rsidR="00403A39" w:rsidRPr="00403A39" w:rsidTr="000B7201">
        <w:trPr>
          <w:trHeight w:val="2218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403A39" w:rsidRPr="00403A39" w:rsidRDefault="00403A39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A39" w:rsidRPr="00403A39" w:rsidRDefault="00403A39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03A39" w:rsidRPr="00403A39" w:rsidTr="000B7201">
        <w:trPr>
          <w:trHeight w:val="463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403A39" w:rsidRPr="00403A39" w:rsidRDefault="00403A39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39" w:rsidRPr="00403A39" w:rsidRDefault="00403A39" w:rsidP="0007561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организации;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03A39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403A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1E33" w:rsidRPr="00403A39" w:rsidTr="006C5920">
        <w:trPr>
          <w:trHeight w:val="585"/>
        </w:trPr>
        <w:tc>
          <w:tcPr>
            <w:tcW w:w="312" w:type="pct"/>
            <w:vMerge/>
            <w:vAlign w:val="center"/>
            <w:hideMark/>
          </w:tcPr>
          <w:p w:rsidR="009A1E33" w:rsidRPr="00403A39" w:rsidRDefault="009A1E33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руб./кВт∙ч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1,53901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1,59581</w:t>
            </w:r>
          </w:p>
        </w:tc>
      </w:tr>
      <w:tr w:rsidR="00403A39" w:rsidRPr="00403A39" w:rsidTr="006C5920">
        <w:trPr>
          <w:trHeight w:val="379"/>
        </w:trPr>
        <w:tc>
          <w:tcPr>
            <w:tcW w:w="31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39" w:rsidRPr="00403A39" w:rsidRDefault="00403A39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38" w:name="RANGE!A130"/>
            <w:r w:rsidRPr="00403A39">
              <w:rPr>
                <w:color w:val="000000"/>
                <w:sz w:val="20"/>
                <w:szCs w:val="20"/>
              </w:rPr>
              <w:t>1.2</w:t>
            </w:r>
            <w:bookmarkEnd w:id="38"/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39" w:rsidRPr="00403A39" w:rsidRDefault="00403A39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</w:tc>
      </w:tr>
      <w:tr w:rsidR="00403A39" w:rsidRPr="00403A39" w:rsidTr="006C5920">
        <w:trPr>
          <w:trHeight w:val="2306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403A39" w:rsidRPr="00403A39" w:rsidRDefault="00403A39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A39" w:rsidRPr="00403A39" w:rsidRDefault="00403A39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03A39" w:rsidRPr="00403A39" w:rsidTr="006C5920">
        <w:trPr>
          <w:trHeight w:val="73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403A39" w:rsidRPr="00403A39" w:rsidRDefault="00403A39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A39" w:rsidRPr="00403A39" w:rsidRDefault="00403A39" w:rsidP="0007561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03A39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403A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1E33" w:rsidRPr="00403A39" w:rsidTr="006C5920">
        <w:trPr>
          <w:trHeight w:val="476"/>
        </w:trPr>
        <w:tc>
          <w:tcPr>
            <w:tcW w:w="312" w:type="pct"/>
            <w:vMerge/>
            <w:vAlign w:val="center"/>
            <w:hideMark/>
          </w:tcPr>
          <w:p w:rsidR="009A1E33" w:rsidRPr="00403A39" w:rsidRDefault="009A1E33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руб./кВт∙ч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1,53901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1,59581</w:t>
            </w:r>
          </w:p>
        </w:tc>
      </w:tr>
      <w:tr w:rsidR="00403A39" w:rsidRPr="00403A39" w:rsidTr="000B7201">
        <w:trPr>
          <w:trHeight w:val="300"/>
        </w:trPr>
        <w:tc>
          <w:tcPr>
            <w:tcW w:w="31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39" w:rsidRPr="00403A39" w:rsidRDefault="00403A39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39" w:name="RANGE!A134"/>
            <w:r w:rsidRPr="00403A39">
              <w:rPr>
                <w:color w:val="000000"/>
                <w:sz w:val="20"/>
                <w:szCs w:val="20"/>
              </w:rPr>
              <w:t>1.3</w:t>
            </w:r>
            <w:bookmarkEnd w:id="39"/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39" w:rsidRPr="00403A39" w:rsidRDefault="00403A39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</w:p>
        </w:tc>
      </w:tr>
      <w:tr w:rsidR="00403A39" w:rsidRPr="00403A39" w:rsidTr="000B7201">
        <w:trPr>
          <w:trHeight w:val="2264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403A39" w:rsidRPr="00403A39" w:rsidRDefault="00403A39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A39" w:rsidRPr="00403A39" w:rsidRDefault="00403A39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03A39" w:rsidRPr="00403A39" w:rsidTr="000B7201">
        <w:trPr>
          <w:trHeight w:val="395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403A39" w:rsidRPr="00403A39" w:rsidRDefault="00403A39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39" w:rsidRPr="00403A39" w:rsidRDefault="00403A39" w:rsidP="0007561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03A39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403A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1E33" w:rsidRPr="00403A39" w:rsidTr="006C5920">
        <w:trPr>
          <w:trHeight w:val="501"/>
        </w:trPr>
        <w:tc>
          <w:tcPr>
            <w:tcW w:w="312" w:type="pct"/>
            <w:vMerge/>
            <w:vAlign w:val="center"/>
            <w:hideMark/>
          </w:tcPr>
          <w:p w:rsidR="009A1E33" w:rsidRPr="00403A39" w:rsidRDefault="009A1E33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руб./кВт∙ч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0,77234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0,79581</w:t>
            </w:r>
          </w:p>
        </w:tc>
      </w:tr>
      <w:tr w:rsidR="00403A39" w:rsidRPr="00403A39" w:rsidTr="000B7201">
        <w:trPr>
          <w:trHeight w:val="170"/>
        </w:trPr>
        <w:tc>
          <w:tcPr>
            <w:tcW w:w="312" w:type="pct"/>
            <w:shd w:val="clear" w:color="auto" w:fill="auto"/>
            <w:vAlign w:val="center"/>
            <w:hideMark/>
          </w:tcPr>
          <w:p w:rsidR="00403A39" w:rsidRPr="00403A39" w:rsidRDefault="00403A39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40" w:name="RANGE!A138"/>
            <w:r w:rsidRPr="00403A39">
              <w:rPr>
                <w:color w:val="000000"/>
                <w:sz w:val="20"/>
                <w:szCs w:val="20"/>
              </w:rPr>
              <w:t>1.4</w:t>
            </w:r>
            <w:bookmarkEnd w:id="40"/>
          </w:p>
        </w:tc>
        <w:tc>
          <w:tcPr>
            <w:tcW w:w="4688" w:type="pct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403A39" w:rsidRPr="00403A39" w:rsidRDefault="00403A39" w:rsidP="00403A39">
            <w:pPr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0B7201" w:rsidRPr="00403A39" w:rsidTr="000B7201">
        <w:trPr>
          <w:trHeight w:val="632"/>
        </w:trPr>
        <w:tc>
          <w:tcPr>
            <w:tcW w:w="31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01" w:rsidRPr="00403A39" w:rsidRDefault="000B7201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41" w:name="RANGE!A139"/>
            <w:r w:rsidRPr="00403A39">
              <w:rPr>
                <w:color w:val="000000"/>
                <w:sz w:val="20"/>
                <w:szCs w:val="20"/>
              </w:rPr>
              <w:t>1.4.1</w:t>
            </w:r>
            <w:bookmarkEnd w:id="41"/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01" w:rsidRPr="00CC2454" w:rsidRDefault="000B7201" w:rsidP="000B7201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Садоводческ</w:t>
            </w:r>
            <w:r>
              <w:rPr>
                <w:color w:val="000000"/>
                <w:sz w:val="20"/>
                <w:szCs w:val="20"/>
              </w:rPr>
              <w:t>ие и</w:t>
            </w:r>
            <w:r w:rsidR="006C5920">
              <w:rPr>
                <w:color w:val="000000"/>
                <w:sz w:val="20"/>
                <w:szCs w:val="20"/>
              </w:rPr>
              <w:t>ли</w:t>
            </w:r>
            <w:r w:rsidRPr="00403A39">
              <w:rPr>
                <w:color w:val="000000"/>
                <w:sz w:val="20"/>
                <w:szCs w:val="20"/>
              </w:rPr>
              <w:t xml:space="preserve"> огороднические некоммерческие </w:t>
            </w:r>
            <w:r>
              <w:rPr>
                <w:color w:val="000000"/>
                <w:sz w:val="20"/>
                <w:szCs w:val="20"/>
              </w:rPr>
              <w:t>товарищества</w:t>
            </w:r>
            <w:r w:rsidRPr="00403A39">
              <w:rPr>
                <w:color w:val="000000"/>
                <w:sz w:val="20"/>
                <w:szCs w:val="20"/>
              </w:rPr>
              <w:t>.</w:t>
            </w:r>
          </w:p>
          <w:p w:rsidR="000B7201" w:rsidRPr="00CC2454" w:rsidRDefault="000B7201" w:rsidP="000B7201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03A39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403A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1E33" w:rsidRPr="00403A39" w:rsidTr="006C5920">
        <w:trPr>
          <w:trHeight w:val="497"/>
        </w:trPr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A1E33" w:rsidRPr="00403A39" w:rsidRDefault="009A1E33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руб./кВт∙ч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0,77234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0,79581</w:t>
            </w:r>
          </w:p>
        </w:tc>
      </w:tr>
      <w:tr w:rsidR="00403A39" w:rsidRPr="00403A39" w:rsidTr="000B7201">
        <w:trPr>
          <w:trHeight w:val="43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39" w:rsidRPr="00403A39" w:rsidRDefault="00403A39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42" w:name="RANGE!A142"/>
            <w:r w:rsidRPr="00403A39">
              <w:rPr>
                <w:color w:val="000000"/>
                <w:sz w:val="20"/>
                <w:szCs w:val="20"/>
              </w:rPr>
              <w:t>1.4.2</w:t>
            </w:r>
            <w:bookmarkEnd w:id="42"/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39" w:rsidRPr="00403A39" w:rsidRDefault="00403A39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403A39" w:rsidRPr="00403A39" w:rsidTr="000B7201">
        <w:trPr>
          <w:trHeight w:val="514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39" w:rsidRPr="00403A39" w:rsidRDefault="00403A39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39" w:rsidRPr="00403A39" w:rsidRDefault="00403A39" w:rsidP="0007561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03A39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403A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1E33" w:rsidRPr="00403A39" w:rsidTr="006C5920">
        <w:trPr>
          <w:trHeight w:val="58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33" w:rsidRPr="00403A39" w:rsidRDefault="009A1E33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руб./кВт∙ч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1,53901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1,59581</w:t>
            </w:r>
          </w:p>
        </w:tc>
      </w:tr>
      <w:tr w:rsidR="00403A39" w:rsidRPr="00403A39" w:rsidTr="000B7201">
        <w:trPr>
          <w:trHeight w:val="300"/>
        </w:trPr>
        <w:tc>
          <w:tcPr>
            <w:tcW w:w="31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39" w:rsidRPr="00403A39" w:rsidRDefault="00403A39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43" w:name="RANGE!A145"/>
            <w:r w:rsidRPr="00403A39">
              <w:rPr>
                <w:color w:val="000000"/>
                <w:sz w:val="20"/>
                <w:szCs w:val="20"/>
              </w:rPr>
              <w:t>1.4.3</w:t>
            </w:r>
            <w:bookmarkEnd w:id="43"/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39" w:rsidRPr="00403A39" w:rsidRDefault="00403A39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</w:tc>
      </w:tr>
      <w:tr w:rsidR="00403A39" w:rsidRPr="00403A39" w:rsidTr="000B7201">
        <w:trPr>
          <w:trHeight w:val="421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403A39" w:rsidRPr="00403A39" w:rsidRDefault="00403A39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39" w:rsidRPr="00403A39" w:rsidRDefault="00403A39" w:rsidP="0007561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03A39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403A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1E33" w:rsidRPr="00403A39" w:rsidTr="006C5920">
        <w:trPr>
          <w:trHeight w:val="318"/>
        </w:trPr>
        <w:tc>
          <w:tcPr>
            <w:tcW w:w="312" w:type="pct"/>
            <w:vMerge/>
            <w:vAlign w:val="center"/>
            <w:hideMark/>
          </w:tcPr>
          <w:p w:rsidR="009A1E33" w:rsidRPr="00403A39" w:rsidRDefault="009A1E33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A1E33" w:rsidRPr="00403A39" w:rsidRDefault="009A1E33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руб./кВт∙ч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0,77234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0,79581</w:t>
            </w:r>
          </w:p>
        </w:tc>
      </w:tr>
      <w:tr w:rsidR="00403A39" w:rsidRPr="00403A39" w:rsidTr="000B7201">
        <w:trPr>
          <w:trHeight w:val="714"/>
        </w:trPr>
        <w:tc>
          <w:tcPr>
            <w:tcW w:w="31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39" w:rsidRPr="00403A39" w:rsidRDefault="00403A39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44" w:name="RANGE!A148"/>
            <w:r w:rsidRPr="00403A39">
              <w:rPr>
                <w:color w:val="000000"/>
                <w:sz w:val="20"/>
                <w:szCs w:val="20"/>
              </w:rPr>
              <w:t>1.4.4</w:t>
            </w:r>
            <w:bookmarkEnd w:id="44"/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A39" w:rsidRPr="00403A39" w:rsidRDefault="00403A39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й не используемую для осуществления коммерческой деятельности. </w:t>
            </w:r>
          </w:p>
        </w:tc>
      </w:tr>
      <w:tr w:rsidR="00403A39" w:rsidRPr="00403A39" w:rsidTr="000B7201">
        <w:trPr>
          <w:trHeight w:val="493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403A39" w:rsidRPr="00403A39" w:rsidRDefault="00403A39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39" w:rsidRPr="00403A39" w:rsidRDefault="00403A39" w:rsidP="0007561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03A39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403A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1E33" w:rsidRPr="00403A39" w:rsidTr="006C5920">
        <w:trPr>
          <w:trHeight w:val="333"/>
        </w:trPr>
        <w:tc>
          <w:tcPr>
            <w:tcW w:w="312" w:type="pct"/>
            <w:vMerge/>
            <w:vAlign w:val="center"/>
            <w:hideMark/>
          </w:tcPr>
          <w:p w:rsidR="009A1E33" w:rsidRPr="00403A39" w:rsidRDefault="009A1E33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руб./кВт∙ч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1,53901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1,59581</w:t>
            </w:r>
          </w:p>
        </w:tc>
      </w:tr>
      <w:tr w:rsidR="000B7201" w:rsidRPr="00403A39" w:rsidTr="000B7201">
        <w:trPr>
          <w:trHeight w:val="184"/>
        </w:trPr>
        <w:tc>
          <w:tcPr>
            <w:tcW w:w="312" w:type="pct"/>
            <w:shd w:val="clear" w:color="auto" w:fill="auto"/>
            <w:vAlign w:val="center"/>
            <w:hideMark/>
          </w:tcPr>
          <w:p w:rsidR="000B7201" w:rsidRPr="00403A39" w:rsidRDefault="000B7201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45" w:name="RANGE!A151"/>
            <w:r w:rsidRPr="00403A39">
              <w:rPr>
                <w:color w:val="000000"/>
                <w:sz w:val="20"/>
                <w:szCs w:val="20"/>
              </w:rPr>
              <w:t>2</w:t>
            </w:r>
            <w:bookmarkEnd w:id="45"/>
          </w:p>
        </w:tc>
        <w:tc>
          <w:tcPr>
            <w:tcW w:w="4688" w:type="pct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0B7201" w:rsidRPr="00403A39" w:rsidRDefault="000B7201" w:rsidP="00403A39">
            <w:pPr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</w:r>
          </w:p>
        </w:tc>
      </w:tr>
      <w:tr w:rsidR="000B7201" w:rsidRPr="00403A39" w:rsidTr="000B7201">
        <w:trPr>
          <w:trHeight w:val="229"/>
        </w:trPr>
        <w:tc>
          <w:tcPr>
            <w:tcW w:w="31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01" w:rsidRPr="00403A39" w:rsidRDefault="000B7201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46" w:name="RANGE!A152"/>
            <w:r w:rsidRPr="00403A39">
              <w:rPr>
                <w:color w:val="000000"/>
                <w:sz w:val="20"/>
                <w:szCs w:val="20"/>
              </w:rPr>
              <w:t>2.1</w:t>
            </w:r>
            <w:bookmarkEnd w:id="46"/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01" w:rsidRPr="00403A39" w:rsidRDefault="000B7201" w:rsidP="00403A39">
            <w:pPr>
              <w:jc w:val="both"/>
              <w:outlineLvl w:val="0"/>
              <w:rPr>
                <w:sz w:val="20"/>
                <w:szCs w:val="20"/>
              </w:rPr>
            </w:pPr>
            <w:r w:rsidRPr="00403A39">
              <w:rPr>
                <w:sz w:val="20"/>
                <w:szCs w:val="20"/>
              </w:rPr>
              <w:t>Население и приравненные к нему категории потребителей, за исключением указанного в пунктах 2.2 и 2.3:</w:t>
            </w:r>
          </w:p>
        </w:tc>
      </w:tr>
      <w:tr w:rsidR="000B7201" w:rsidRPr="00403A39" w:rsidTr="000B7201">
        <w:trPr>
          <w:trHeight w:val="2322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0B7201" w:rsidRPr="00403A39" w:rsidRDefault="000B7201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201" w:rsidRPr="00403A39" w:rsidRDefault="000B7201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организации);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фонда: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0B7201" w:rsidRPr="00403A39" w:rsidTr="000B7201">
        <w:trPr>
          <w:trHeight w:val="427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0B7201" w:rsidRPr="00403A39" w:rsidRDefault="000B7201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201" w:rsidRPr="00403A39" w:rsidRDefault="000B7201" w:rsidP="0007561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03A39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403A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1E33" w:rsidRPr="00403A39" w:rsidTr="006C5920">
        <w:trPr>
          <w:trHeight w:val="489"/>
        </w:trPr>
        <w:tc>
          <w:tcPr>
            <w:tcW w:w="312" w:type="pct"/>
            <w:vMerge/>
            <w:vAlign w:val="center"/>
            <w:hideMark/>
          </w:tcPr>
          <w:p w:rsidR="009A1E33" w:rsidRPr="00403A39" w:rsidRDefault="009A1E33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руб./кВт∙ч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2,47234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2,41247</w:t>
            </w:r>
          </w:p>
        </w:tc>
      </w:tr>
      <w:tr w:rsidR="000B7201" w:rsidRPr="00403A39" w:rsidTr="006C5920">
        <w:trPr>
          <w:trHeight w:val="495"/>
        </w:trPr>
        <w:tc>
          <w:tcPr>
            <w:tcW w:w="31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01" w:rsidRPr="00403A39" w:rsidRDefault="000B7201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47" w:name="RANGE!A156"/>
            <w:r w:rsidRPr="00403A39">
              <w:rPr>
                <w:color w:val="000000"/>
                <w:sz w:val="20"/>
                <w:szCs w:val="20"/>
              </w:rPr>
              <w:t>2.2</w:t>
            </w:r>
            <w:bookmarkEnd w:id="47"/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01" w:rsidRPr="00403A39" w:rsidRDefault="000B7201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</w:tc>
      </w:tr>
      <w:tr w:rsidR="000B7201" w:rsidRPr="00403A39" w:rsidTr="006C5920">
        <w:trPr>
          <w:trHeight w:val="2282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0B7201" w:rsidRPr="00403A39" w:rsidRDefault="000B7201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201" w:rsidRPr="00403A39" w:rsidRDefault="000B7201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0B7201" w:rsidRPr="00403A39" w:rsidTr="006C5920">
        <w:trPr>
          <w:trHeight w:val="409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0B7201" w:rsidRPr="00403A39" w:rsidRDefault="000B7201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01" w:rsidRPr="00403A39" w:rsidRDefault="000B7201" w:rsidP="0007561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03A39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403A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1E33" w:rsidRPr="00403A39" w:rsidTr="006C5920">
        <w:trPr>
          <w:trHeight w:val="615"/>
        </w:trPr>
        <w:tc>
          <w:tcPr>
            <w:tcW w:w="312" w:type="pct"/>
            <w:vMerge/>
            <w:vAlign w:val="center"/>
            <w:hideMark/>
          </w:tcPr>
          <w:p w:rsidR="009A1E33" w:rsidRPr="00403A39" w:rsidRDefault="009A1E33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Одноставочный тариф (в там числе дифференцированный по двум и по трем зонам суток)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руб./кВт∙ч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2,47234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2,41247</w:t>
            </w:r>
          </w:p>
        </w:tc>
      </w:tr>
      <w:tr w:rsidR="000B7201" w:rsidRPr="00403A39" w:rsidTr="000B7201">
        <w:trPr>
          <w:trHeight w:val="300"/>
        </w:trPr>
        <w:tc>
          <w:tcPr>
            <w:tcW w:w="31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01" w:rsidRPr="00403A39" w:rsidRDefault="000B7201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48" w:name="RANGE!A160"/>
            <w:r w:rsidRPr="00403A39">
              <w:rPr>
                <w:color w:val="000000"/>
                <w:sz w:val="20"/>
                <w:szCs w:val="20"/>
              </w:rPr>
              <w:t>2.3</w:t>
            </w:r>
            <w:bookmarkEnd w:id="48"/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01" w:rsidRPr="00403A39" w:rsidRDefault="000B7201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</w:p>
        </w:tc>
      </w:tr>
      <w:tr w:rsidR="000B7201" w:rsidRPr="00403A39" w:rsidTr="000B7201">
        <w:trPr>
          <w:trHeight w:val="2201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0B7201" w:rsidRPr="00403A39" w:rsidRDefault="000B7201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201" w:rsidRPr="00403A39" w:rsidRDefault="000B7201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0B7201" w:rsidRPr="00403A39" w:rsidTr="000B7201">
        <w:trPr>
          <w:trHeight w:val="423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0B7201" w:rsidRPr="00403A39" w:rsidRDefault="000B7201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01" w:rsidRPr="00403A39" w:rsidRDefault="000B7201" w:rsidP="0007561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03A39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403A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1E33" w:rsidRPr="00403A39" w:rsidTr="006C5920">
        <w:trPr>
          <w:trHeight w:val="529"/>
        </w:trPr>
        <w:tc>
          <w:tcPr>
            <w:tcW w:w="312" w:type="pct"/>
            <w:vMerge/>
            <w:vAlign w:val="center"/>
            <w:hideMark/>
          </w:tcPr>
          <w:p w:rsidR="009A1E33" w:rsidRPr="00403A39" w:rsidRDefault="009A1E33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руб./кВт∙ч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1,42234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1,36247</w:t>
            </w:r>
          </w:p>
        </w:tc>
      </w:tr>
      <w:tr w:rsidR="000B7201" w:rsidRPr="00403A39" w:rsidTr="000B7201">
        <w:trPr>
          <w:trHeight w:val="282"/>
        </w:trPr>
        <w:tc>
          <w:tcPr>
            <w:tcW w:w="312" w:type="pct"/>
            <w:shd w:val="clear" w:color="auto" w:fill="auto"/>
            <w:vAlign w:val="center"/>
            <w:hideMark/>
          </w:tcPr>
          <w:p w:rsidR="000B7201" w:rsidRPr="00403A39" w:rsidRDefault="000B7201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49" w:name="RANGE!A164"/>
            <w:r w:rsidRPr="00403A39">
              <w:rPr>
                <w:color w:val="000000"/>
                <w:sz w:val="20"/>
                <w:szCs w:val="20"/>
              </w:rPr>
              <w:t>2.4</w:t>
            </w:r>
            <w:bookmarkEnd w:id="49"/>
          </w:p>
        </w:tc>
        <w:tc>
          <w:tcPr>
            <w:tcW w:w="4688" w:type="pct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0B7201" w:rsidRPr="00403A39" w:rsidRDefault="000B7201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0B7201" w:rsidRPr="00403A39" w:rsidTr="000B7201">
        <w:trPr>
          <w:trHeight w:val="414"/>
        </w:trPr>
        <w:tc>
          <w:tcPr>
            <w:tcW w:w="31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01" w:rsidRPr="00403A39" w:rsidRDefault="000B7201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50" w:name="RANGE!A165"/>
            <w:r w:rsidRPr="00403A39">
              <w:rPr>
                <w:color w:val="000000"/>
                <w:sz w:val="20"/>
                <w:szCs w:val="20"/>
              </w:rPr>
              <w:t>2.4.1</w:t>
            </w:r>
            <w:bookmarkEnd w:id="50"/>
          </w:p>
        </w:tc>
        <w:tc>
          <w:tcPr>
            <w:tcW w:w="46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01" w:rsidRPr="00403A39" w:rsidRDefault="000B7201" w:rsidP="000B7201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Садоводческие</w:t>
            </w:r>
            <w:r>
              <w:rPr>
                <w:color w:val="000000"/>
                <w:sz w:val="20"/>
                <w:szCs w:val="20"/>
              </w:rPr>
              <w:t xml:space="preserve"> и</w:t>
            </w:r>
            <w:r w:rsidR="006C5920">
              <w:rPr>
                <w:color w:val="000000"/>
                <w:sz w:val="20"/>
                <w:szCs w:val="20"/>
              </w:rPr>
              <w:t>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3A39">
              <w:rPr>
                <w:color w:val="000000"/>
                <w:sz w:val="20"/>
                <w:szCs w:val="20"/>
              </w:rPr>
              <w:t xml:space="preserve">огороднические некоммерческие </w:t>
            </w:r>
            <w:r>
              <w:rPr>
                <w:color w:val="000000"/>
                <w:sz w:val="20"/>
                <w:szCs w:val="20"/>
              </w:rPr>
              <w:t>товарищества</w:t>
            </w:r>
            <w:r w:rsidRPr="00403A39">
              <w:rPr>
                <w:color w:val="000000"/>
                <w:sz w:val="20"/>
                <w:szCs w:val="20"/>
              </w:rPr>
              <w:t>.</w:t>
            </w:r>
          </w:p>
          <w:p w:rsidR="000B7201" w:rsidRPr="00403A39" w:rsidRDefault="000B7201" w:rsidP="0007561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03A39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403A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0B7201" w:rsidRPr="00403A39" w:rsidTr="000B7201">
        <w:trPr>
          <w:trHeight w:val="232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0B7201" w:rsidRPr="00403A39" w:rsidRDefault="000B7201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01" w:rsidRPr="00403A39" w:rsidRDefault="000B7201" w:rsidP="0007561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9A1E33" w:rsidRPr="00403A39" w:rsidTr="006C5920">
        <w:trPr>
          <w:trHeight w:val="413"/>
        </w:trPr>
        <w:tc>
          <w:tcPr>
            <w:tcW w:w="312" w:type="pct"/>
            <w:vMerge/>
            <w:vAlign w:val="center"/>
            <w:hideMark/>
          </w:tcPr>
          <w:p w:rsidR="009A1E33" w:rsidRPr="00403A39" w:rsidRDefault="009A1E33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руб./кВт∙ч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1,42234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1,36247</w:t>
            </w:r>
          </w:p>
        </w:tc>
      </w:tr>
      <w:tr w:rsidR="000B7201" w:rsidRPr="00403A39" w:rsidTr="000B7201">
        <w:trPr>
          <w:trHeight w:val="474"/>
        </w:trPr>
        <w:tc>
          <w:tcPr>
            <w:tcW w:w="31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01" w:rsidRPr="00403A39" w:rsidRDefault="000B7201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51" w:name="RANGE!A168"/>
            <w:r w:rsidRPr="00403A39">
              <w:rPr>
                <w:color w:val="000000"/>
                <w:sz w:val="20"/>
                <w:szCs w:val="20"/>
              </w:rPr>
              <w:t>2.4.2</w:t>
            </w:r>
            <w:bookmarkEnd w:id="51"/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01" w:rsidRPr="00403A39" w:rsidRDefault="000B7201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0B7201" w:rsidRPr="00403A39" w:rsidTr="000B7201">
        <w:trPr>
          <w:trHeight w:val="430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0B7201" w:rsidRPr="00403A39" w:rsidRDefault="000B7201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01" w:rsidRPr="00403A39" w:rsidRDefault="000B7201" w:rsidP="00403A39">
            <w:pPr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03A39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403A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1E33" w:rsidRPr="00403A39" w:rsidTr="006C5920">
        <w:trPr>
          <w:trHeight w:val="522"/>
        </w:trPr>
        <w:tc>
          <w:tcPr>
            <w:tcW w:w="312" w:type="pct"/>
            <w:vMerge/>
            <w:vAlign w:val="center"/>
            <w:hideMark/>
          </w:tcPr>
          <w:p w:rsidR="009A1E33" w:rsidRPr="00403A39" w:rsidRDefault="009A1E33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руб./кВт∙ч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2,47234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2,41247</w:t>
            </w:r>
          </w:p>
        </w:tc>
      </w:tr>
      <w:tr w:rsidR="000B7201" w:rsidRPr="00403A39" w:rsidTr="000B7201">
        <w:trPr>
          <w:trHeight w:val="300"/>
        </w:trPr>
        <w:tc>
          <w:tcPr>
            <w:tcW w:w="31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01" w:rsidRPr="00403A39" w:rsidRDefault="000B7201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52" w:name="RANGE!A171"/>
            <w:r w:rsidRPr="00403A39">
              <w:rPr>
                <w:color w:val="000000"/>
                <w:sz w:val="20"/>
                <w:szCs w:val="20"/>
              </w:rPr>
              <w:t>2.4.3</w:t>
            </w:r>
            <w:bookmarkEnd w:id="52"/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01" w:rsidRPr="00403A39" w:rsidRDefault="000B7201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</w:tc>
      </w:tr>
      <w:tr w:rsidR="000B7201" w:rsidRPr="00403A39" w:rsidTr="000B7201">
        <w:trPr>
          <w:trHeight w:val="501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0B7201" w:rsidRPr="00403A39" w:rsidRDefault="000B7201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01" w:rsidRPr="00403A39" w:rsidRDefault="000B7201" w:rsidP="0007561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03A39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403A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1E33" w:rsidRPr="00403A39" w:rsidTr="006C5920">
        <w:trPr>
          <w:trHeight w:val="399"/>
        </w:trPr>
        <w:tc>
          <w:tcPr>
            <w:tcW w:w="312" w:type="pct"/>
            <w:vMerge/>
            <w:vAlign w:val="center"/>
            <w:hideMark/>
          </w:tcPr>
          <w:p w:rsidR="009A1E33" w:rsidRPr="00403A39" w:rsidRDefault="009A1E33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руб./кВт∙ч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1,42234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1,36247</w:t>
            </w:r>
          </w:p>
        </w:tc>
      </w:tr>
      <w:tr w:rsidR="000B7201" w:rsidRPr="00403A39" w:rsidTr="006C5920">
        <w:trPr>
          <w:trHeight w:val="601"/>
        </w:trPr>
        <w:tc>
          <w:tcPr>
            <w:tcW w:w="31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01" w:rsidRPr="00403A39" w:rsidRDefault="000B7201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53" w:name="RANGE!A174"/>
            <w:r w:rsidRPr="00403A39">
              <w:rPr>
                <w:color w:val="000000"/>
                <w:sz w:val="20"/>
                <w:szCs w:val="20"/>
              </w:rPr>
              <w:t>2.4.4</w:t>
            </w:r>
            <w:bookmarkEnd w:id="53"/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201" w:rsidRPr="00403A39" w:rsidRDefault="000B7201" w:rsidP="0007561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(погреба;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</w:tr>
      <w:tr w:rsidR="000B7201" w:rsidRPr="00403A39" w:rsidTr="006C5920">
        <w:trPr>
          <w:trHeight w:val="493"/>
        </w:trPr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0B7201" w:rsidRPr="00403A39" w:rsidRDefault="000B7201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01" w:rsidRPr="00403A39" w:rsidRDefault="000B7201" w:rsidP="00075616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03A39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403A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1E33" w:rsidRPr="00403A39" w:rsidTr="006C5920">
        <w:trPr>
          <w:trHeight w:val="144"/>
        </w:trPr>
        <w:tc>
          <w:tcPr>
            <w:tcW w:w="312" w:type="pct"/>
            <w:vMerge/>
            <w:vAlign w:val="center"/>
            <w:hideMark/>
          </w:tcPr>
          <w:p w:rsidR="009A1E33" w:rsidRPr="00403A39" w:rsidRDefault="009A1E33" w:rsidP="00403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t xml:space="preserve">Одноставочный тариф (в том числе дифференцированный по двум </w:t>
            </w:r>
            <w:r w:rsidRPr="00403A39">
              <w:rPr>
                <w:color w:val="000000"/>
                <w:sz w:val="20"/>
                <w:szCs w:val="20"/>
              </w:rPr>
              <w:lastRenderedPageBreak/>
              <w:t>и по трем зонам суток)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1E33" w:rsidRPr="00403A39" w:rsidRDefault="009A1E33" w:rsidP="00403A3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03A39">
              <w:rPr>
                <w:color w:val="000000"/>
                <w:sz w:val="20"/>
                <w:szCs w:val="20"/>
              </w:rPr>
              <w:lastRenderedPageBreak/>
              <w:t>руб./кВт∙ч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2,47234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E33" w:rsidRPr="009A1E33" w:rsidRDefault="009A1E33" w:rsidP="005F175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9A1E33">
              <w:rPr>
                <w:color w:val="000000"/>
                <w:sz w:val="20"/>
                <w:szCs w:val="22"/>
              </w:rPr>
              <w:t>2,41247</w:t>
            </w:r>
          </w:p>
        </w:tc>
      </w:tr>
    </w:tbl>
    <w:p w:rsidR="00403A39" w:rsidRPr="00075616" w:rsidRDefault="00403A39" w:rsidP="00075616">
      <w:pPr>
        <w:spacing w:before="120"/>
        <w:ind w:left="-142" w:firstLine="568"/>
        <w:rPr>
          <w:sz w:val="20"/>
        </w:rPr>
      </w:pPr>
      <w:r w:rsidRPr="00075616">
        <w:rPr>
          <w:sz w:val="20"/>
        </w:rPr>
        <w:lastRenderedPageBreak/>
        <w:t>Примечание:</w:t>
      </w:r>
    </w:p>
    <w:p w:rsidR="00297F0E" w:rsidRPr="00297F0E" w:rsidRDefault="00297F0E" w:rsidP="0044330C">
      <w:pPr>
        <w:numPr>
          <w:ilvl w:val="0"/>
          <w:numId w:val="13"/>
        </w:numPr>
        <w:tabs>
          <w:tab w:val="left" w:pos="993"/>
        </w:tabs>
        <w:ind w:left="-142" w:right="-173" w:firstLine="567"/>
        <w:jc w:val="both"/>
        <w:rPr>
          <w:rFonts w:eastAsia="Calibri"/>
          <w:sz w:val="20"/>
          <w:szCs w:val="20"/>
        </w:rPr>
      </w:pPr>
      <w:r w:rsidRPr="00297F0E">
        <w:rPr>
          <w:rFonts w:eastAsia="Calibri"/>
          <w:sz w:val="20"/>
          <w:szCs w:val="20"/>
        </w:rPr>
        <w:t>Гарантирующие поставщики, энергосбытовые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F740C" w:rsidRPr="000848C9" w:rsidRDefault="008F740C" w:rsidP="00F56596">
      <w:pPr>
        <w:tabs>
          <w:tab w:val="left" w:pos="6521"/>
        </w:tabs>
        <w:ind w:left="76" w:right="-2"/>
        <w:jc w:val="right"/>
        <w:rPr>
          <w:sz w:val="20"/>
          <w:szCs w:val="28"/>
        </w:rPr>
      </w:pPr>
    </w:p>
    <w:p w:rsidR="00B6568A" w:rsidRDefault="00F56596" w:rsidP="00F56596">
      <w:pPr>
        <w:tabs>
          <w:tab w:val="left" w:pos="6521"/>
        </w:tabs>
        <w:ind w:left="76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C7B88">
        <w:rPr>
          <w:sz w:val="28"/>
          <w:szCs w:val="28"/>
        </w:rPr>
        <w:t>5</w:t>
      </w:r>
    </w:p>
    <w:p w:rsidR="006E5F4D" w:rsidRDefault="006E5F4D" w:rsidP="00F56596">
      <w:pPr>
        <w:tabs>
          <w:tab w:val="left" w:pos="6521"/>
        </w:tabs>
        <w:ind w:left="76" w:right="-2"/>
        <w:jc w:val="right"/>
        <w:rPr>
          <w:sz w:val="28"/>
          <w:szCs w:val="28"/>
        </w:rPr>
      </w:pPr>
    </w:p>
    <w:p w:rsidR="008F740C" w:rsidRDefault="00600B4E" w:rsidP="00600B4E">
      <w:pPr>
        <w:pStyle w:val="1"/>
        <w:rPr>
          <w:sz w:val="28"/>
          <w:szCs w:val="28"/>
        </w:rPr>
      </w:pPr>
      <w:r>
        <w:rPr>
          <w:sz w:val="28"/>
          <w:szCs w:val="28"/>
        </w:rPr>
        <w:t>ЦЕНЫ (ТАРИФЫ) НА УСЛУГИ</w:t>
      </w:r>
    </w:p>
    <w:p w:rsidR="006534D0" w:rsidRDefault="006534D0" w:rsidP="00600B4E">
      <w:pPr>
        <w:pStyle w:val="1"/>
        <w:rPr>
          <w:sz w:val="28"/>
          <w:szCs w:val="28"/>
        </w:rPr>
      </w:pPr>
      <w:r w:rsidRPr="006534D0">
        <w:rPr>
          <w:sz w:val="28"/>
          <w:szCs w:val="28"/>
        </w:rPr>
        <w:t>по передаче электрической энергии по уровню напряжения (ВН1)</w:t>
      </w:r>
      <w:r w:rsidR="000848C9" w:rsidRPr="000848C9">
        <w:rPr>
          <w:sz w:val="28"/>
          <w:szCs w:val="28"/>
          <w:vertAlign w:val="superscript"/>
        </w:rPr>
        <w:t>1</w:t>
      </w:r>
      <w:r w:rsidRPr="006534D0">
        <w:rPr>
          <w:sz w:val="28"/>
          <w:szCs w:val="28"/>
        </w:rPr>
        <w:t xml:space="preserve"> на </w:t>
      </w:r>
      <w:r w:rsidR="000B7201">
        <w:rPr>
          <w:sz w:val="28"/>
          <w:szCs w:val="28"/>
        </w:rPr>
        <w:t>2020</w:t>
      </w:r>
      <w:r w:rsidRPr="006534D0">
        <w:rPr>
          <w:sz w:val="28"/>
          <w:szCs w:val="28"/>
        </w:rPr>
        <w:t xml:space="preserve"> год</w:t>
      </w:r>
    </w:p>
    <w:p w:rsidR="006534D0" w:rsidRPr="009F5974" w:rsidRDefault="006534D0" w:rsidP="00600B4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534D0">
        <w:rPr>
          <w:rFonts w:eastAsia="Calibri"/>
          <w:sz w:val="28"/>
          <w:szCs w:val="28"/>
        </w:rPr>
        <w:t>(тарифы указ</w:t>
      </w:r>
      <w:r w:rsidR="000848C9">
        <w:rPr>
          <w:rFonts w:eastAsia="Calibri"/>
          <w:sz w:val="28"/>
          <w:szCs w:val="28"/>
        </w:rPr>
        <w:t>аны</w:t>
      </w:r>
      <w:r w:rsidRPr="006534D0">
        <w:rPr>
          <w:rFonts w:eastAsia="Calibri"/>
          <w:sz w:val="28"/>
          <w:szCs w:val="28"/>
        </w:rPr>
        <w:t xml:space="preserve"> без учета НДС)</w:t>
      </w:r>
    </w:p>
    <w:tbl>
      <w:tblPr>
        <w:tblW w:w="149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63"/>
        <w:gridCol w:w="4574"/>
        <w:gridCol w:w="1560"/>
        <w:gridCol w:w="3260"/>
        <w:gridCol w:w="3196"/>
      </w:tblGrid>
      <w:tr w:rsidR="00075616" w:rsidRPr="000C5F5E" w:rsidTr="002A46A5">
        <w:tblPrEx>
          <w:tblCellMar>
            <w:top w:w="0" w:type="dxa"/>
            <w:bottom w:w="0" w:type="dxa"/>
          </w:tblCellMar>
        </w:tblPrEx>
        <w:trPr>
          <w:trHeight w:val="1920"/>
          <w:tblHeader/>
        </w:trPr>
        <w:tc>
          <w:tcPr>
            <w:tcW w:w="709" w:type="dxa"/>
            <w:vAlign w:val="center"/>
          </w:tcPr>
          <w:p w:rsidR="00075616" w:rsidRPr="000C5F5E" w:rsidRDefault="00075616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Pr="000C5F5E">
              <w:rPr>
                <w:rFonts w:eastAsia="Calibri"/>
                <w:sz w:val="20"/>
                <w:szCs w:val="20"/>
              </w:rPr>
              <w:t xml:space="preserve"> п/п</w:t>
            </w:r>
          </w:p>
        </w:tc>
        <w:tc>
          <w:tcPr>
            <w:tcW w:w="1663" w:type="dxa"/>
            <w:vAlign w:val="center"/>
          </w:tcPr>
          <w:p w:rsidR="00075616" w:rsidRPr="009F5974" w:rsidRDefault="00075616" w:rsidP="00ED48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C5F5E">
              <w:rPr>
                <w:rFonts w:eastAsia="Calibri"/>
                <w:sz w:val="20"/>
                <w:szCs w:val="20"/>
              </w:rPr>
              <w:t>Цены (тариф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C5F5E">
              <w:rPr>
                <w:rFonts w:eastAsia="Calibri"/>
                <w:sz w:val="20"/>
                <w:szCs w:val="20"/>
              </w:rPr>
              <w:t>) на услуги по передаче электрической эне</w:t>
            </w:r>
            <w:r>
              <w:rPr>
                <w:rFonts w:eastAsia="Calibri"/>
                <w:sz w:val="20"/>
                <w:szCs w:val="20"/>
              </w:rPr>
              <w:t>ргии по уровню напряжения (ВН1)</w:t>
            </w:r>
            <w:r w:rsidRPr="00075616">
              <w:rPr>
                <w:rFonts w:eastAsia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74" w:type="dxa"/>
            <w:vAlign w:val="center"/>
          </w:tcPr>
          <w:p w:rsidR="00075616" w:rsidRPr="000C5F5E" w:rsidRDefault="00075616" w:rsidP="00E346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C5F5E">
              <w:rPr>
                <w:rFonts w:eastAsia="Calibri"/>
                <w:sz w:val="20"/>
                <w:szCs w:val="20"/>
              </w:rPr>
              <w:t>Расшифровка составляющих цен (тарифов) на услуги по передаче электрической энергии по уровню напряжения (ВН1)</w:t>
            </w:r>
            <w:r w:rsidRPr="00075616">
              <w:rPr>
                <w:rFonts w:eastAsia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  <w:vAlign w:val="center"/>
          </w:tcPr>
          <w:p w:rsidR="00075616" w:rsidRPr="000C5F5E" w:rsidRDefault="00075616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C5F5E">
              <w:rPr>
                <w:rFonts w:eastAsia="Calibri"/>
                <w:sz w:val="20"/>
                <w:szCs w:val="20"/>
              </w:rPr>
              <w:t>Единица</w:t>
            </w:r>
          </w:p>
          <w:p w:rsidR="00075616" w:rsidRPr="000C5F5E" w:rsidRDefault="00075616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C5F5E">
              <w:rPr>
                <w:rFonts w:eastAsia="Calibri"/>
                <w:sz w:val="20"/>
                <w:szCs w:val="20"/>
              </w:rPr>
              <w:t>измерения</w:t>
            </w:r>
          </w:p>
        </w:tc>
        <w:tc>
          <w:tcPr>
            <w:tcW w:w="3260" w:type="dxa"/>
            <w:vAlign w:val="center"/>
          </w:tcPr>
          <w:p w:rsidR="00075616" w:rsidRPr="00075616" w:rsidRDefault="00075616">
            <w:pPr>
              <w:jc w:val="center"/>
              <w:outlineLvl w:val="0"/>
              <w:rPr>
                <w:color w:val="000000"/>
                <w:sz w:val="20"/>
              </w:rPr>
            </w:pPr>
            <w:r w:rsidRPr="00075616">
              <w:rPr>
                <w:color w:val="000000"/>
                <w:sz w:val="20"/>
              </w:rPr>
              <w:t>I полугодие</w:t>
            </w:r>
          </w:p>
        </w:tc>
        <w:tc>
          <w:tcPr>
            <w:tcW w:w="3196" w:type="dxa"/>
            <w:vAlign w:val="center"/>
          </w:tcPr>
          <w:p w:rsidR="00075616" w:rsidRPr="00075616" w:rsidRDefault="00075616">
            <w:pPr>
              <w:jc w:val="center"/>
              <w:outlineLvl w:val="0"/>
              <w:rPr>
                <w:color w:val="000000"/>
                <w:sz w:val="20"/>
              </w:rPr>
            </w:pPr>
            <w:r w:rsidRPr="00075616">
              <w:rPr>
                <w:color w:val="000000"/>
                <w:sz w:val="20"/>
              </w:rPr>
              <w:t>II полугодие</w:t>
            </w:r>
          </w:p>
        </w:tc>
      </w:tr>
      <w:tr w:rsidR="006F560A" w:rsidRPr="000C5F5E" w:rsidTr="006E1AD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vAlign w:val="center"/>
          </w:tcPr>
          <w:p w:rsidR="006F560A" w:rsidRPr="006E1ADF" w:rsidRDefault="006F560A" w:rsidP="006E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E1AD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6F560A" w:rsidRPr="006E1ADF" w:rsidRDefault="006F560A" w:rsidP="006E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E1AD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574" w:type="dxa"/>
            <w:vAlign w:val="center"/>
          </w:tcPr>
          <w:p w:rsidR="006F560A" w:rsidRPr="006E1ADF" w:rsidRDefault="006F560A" w:rsidP="006E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E1AD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6F560A" w:rsidRPr="006E1ADF" w:rsidRDefault="006F560A" w:rsidP="006E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E1AD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6F560A" w:rsidRPr="006E1ADF" w:rsidRDefault="006F560A" w:rsidP="006E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E1ADF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3196" w:type="dxa"/>
            <w:vAlign w:val="center"/>
          </w:tcPr>
          <w:p w:rsidR="006F560A" w:rsidRPr="006E1ADF" w:rsidRDefault="006F560A" w:rsidP="006E1A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E1ADF">
              <w:rPr>
                <w:rFonts w:eastAsia="Calibri"/>
                <w:sz w:val="16"/>
                <w:szCs w:val="16"/>
              </w:rPr>
              <w:t>6</w:t>
            </w:r>
          </w:p>
        </w:tc>
      </w:tr>
      <w:tr w:rsidR="000C5F5E" w:rsidRPr="000C5F5E" w:rsidTr="002A46A5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0C5F5E" w:rsidRPr="000C5F5E" w:rsidRDefault="003A1561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53" w:type="dxa"/>
            <w:gridSpan w:val="5"/>
          </w:tcPr>
          <w:p w:rsidR="000C5F5E" w:rsidRPr="000C5F5E" w:rsidRDefault="000C5F5E" w:rsidP="000C5F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C5F5E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BE2851" w:rsidRPr="000C5F5E" w:rsidTr="006E1AD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09" w:type="dxa"/>
            <w:vAlign w:val="center"/>
          </w:tcPr>
          <w:p w:rsidR="00BE2851" w:rsidRPr="000C5F5E" w:rsidRDefault="00BE2851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54" w:name="sub_28200011"/>
            <w:r w:rsidRPr="000C5F5E">
              <w:rPr>
                <w:rFonts w:eastAsia="Calibri"/>
                <w:sz w:val="20"/>
                <w:szCs w:val="20"/>
              </w:rPr>
              <w:t>1.1</w:t>
            </w:r>
            <w:bookmarkEnd w:id="54"/>
          </w:p>
        </w:tc>
        <w:tc>
          <w:tcPr>
            <w:tcW w:w="6237" w:type="dxa"/>
            <w:gridSpan w:val="2"/>
            <w:vAlign w:val="center"/>
          </w:tcPr>
          <w:p w:rsidR="00BE2851" w:rsidRPr="000C5F5E" w:rsidRDefault="00BE2851" w:rsidP="006E1A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C5F5E">
              <w:rPr>
                <w:rFonts w:eastAsia="Calibri"/>
                <w:sz w:val="20"/>
                <w:szCs w:val="20"/>
              </w:rPr>
              <w:t xml:space="preserve">ставка на содержание электрических сетей </w:t>
            </w:r>
            <w:r w:rsidR="00860363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268605" cy="25844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BE2851" w:rsidRPr="000C5F5E" w:rsidRDefault="00860363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884555" cy="158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BE2851" w:rsidRPr="00E947F2" w:rsidRDefault="00A32D8D" w:rsidP="00C15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vertAlign w:val="subscript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Pr="00E947F2">
              <w:rPr>
                <w:rFonts w:eastAsia="Calibri"/>
                <w:sz w:val="16"/>
                <w:szCs w:val="16"/>
                <w:vertAlign w:val="superscript"/>
              </w:rPr>
              <w:t>ФСК</w:t>
            </w:r>
            <w:r>
              <w:rPr>
                <w:rFonts w:eastAsia="Calibri"/>
                <w:sz w:val="16"/>
                <w:szCs w:val="16"/>
                <w:vertAlign w:val="subscript"/>
              </w:rPr>
              <w:t>сод</w:t>
            </w:r>
            <w:r>
              <w:rPr>
                <w:rFonts w:eastAsia="Calibri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eastAsia="Calibri"/>
                <w:sz w:val="20"/>
                <w:szCs w:val="20"/>
              </w:rPr>
              <w:t>+</w:t>
            </w:r>
            <w:r w:rsidRPr="00E947F2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05AB1">
              <w:rPr>
                <w:rFonts w:eastAsia="Calibri"/>
                <w:sz w:val="16"/>
                <w:szCs w:val="16"/>
                <w:vertAlign w:val="superscript"/>
              </w:rPr>
              <w:t>ПС</w:t>
            </w: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05AB1">
              <w:rPr>
                <w:rFonts w:eastAsia="Calibri"/>
                <w:sz w:val="16"/>
                <w:szCs w:val="16"/>
                <w:vertAlign w:val="superscript"/>
              </w:rPr>
              <w:t>ПС</w:t>
            </w:r>
            <w:r>
              <w:rPr>
                <w:rFonts w:eastAsia="Calibri"/>
                <w:sz w:val="20"/>
                <w:szCs w:val="20"/>
              </w:rPr>
              <w:t>*К</w:t>
            </w:r>
            <w:r>
              <w:rPr>
                <w:rFonts w:eastAsia="Calibri"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Pr="00E947F2">
              <w:rPr>
                <w:rFonts w:eastAsia="Calibri"/>
                <w:sz w:val="20"/>
                <w:szCs w:val="20"/>
              </w:rPr>
              <w:t>*</w:t>
            </w:r>
            <w:r>
              <w:rPr>
                <w:rFonts w:eastAsia="Calibri"/>
                <w:sz w:val="20"/>
                <w:szCs w:val="20"/>
              </w:rPr>
              <w:t>Э</w:t>
            </w:r>
            <w:r w:rsidRPr="00E947F2">
              <w:rPr>
                <w:rFonts w:eastAsia="Calibri"/>
                <w:sz w:val="16"/>
                <w:szCs w:val="16"/>
                <w:vertAlign w:val="superscript"/>
              </w:rPr>
              <w:t>ВН1</w:t>
            </w:r>
            <w:r>
              <w:rPr>
                <w:rFonts w:eastAsia="Calibri"/>
                <w:sz w:val="16"/>
                <w:szCs w:val="16"/>
                <w:vertAlign w:val="subscript"/>
              </w:rPr>
              <w:t>ПО</w:t>
            </w:r>
            <w:r>
              <w:rPr>
                <w:rFonts w:eastAsia="Calibri"/>
                <w:sz w:val="20"/>
                <w:szCs w:val="20"/>
              </w:rPr>
              <w:t>)/Э</w:t>
            </w:r>
            <w:r w:rsidRPr="00E947F2">
              <w:rPr>
                <w:rFonts w:eastAsia="Calibri"/>
                <w:sz w:val="16"/>
                <w:szCs w:val="16"/>
                <w:vertAlign w:val="superscript"/>
              </w:rPr>
              <w:t>ВН1</w:t>
            </w:r>
            <w:r w:rsidRPr="00E947F2">
              <w:rPr>
                <w:rFonts w:eastAsia="Calibri"/>
                <w:sz w:val="16"/>
                <w:szCs w:val="16"/>
                <w:vertAlign w:val="subscript"/>
              </w:rPr>
              <w:t>М</w:t>
            </w:r>
          </w:p>
        </w:tc>
        <w:tc>
          <w:tcPr>
            <w:tcW w:w="3196" w:type="dxa"/>
            <w:vAlign w:val="center"/>
          </w:tcPr>
          <w:p w:rsidR="00BE2851" w:rsidRPr="000C5F5E" w:rsidRDefault="00BE2851" w:rsidP="00C156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Pr="00E947F2">
              <w:rPr>
                <w:rFonts w:eastAsia="Calibri"/>
                <w:sz w:val="16"/>
                <w:szCs w:val="16"/>
                <w:vertAlign w:val="superscript"/>
              </w:rPr>
              <w:t>ФСК</w:t>
            </w:r>
            <w:r>
              <w:rPr>
                <w:rFonts w:eastAsia="Calibri"/>
                <w:sz w:val="16"/>
                <w:szCs w:val="16"/>
                <w:vertAlign w:val="subscript"/>
              </w:rPr>
              <w:t>сод</w:t>
            </w:r>
            <w:r>
              <w:rPr>
                <w:rFonts w:eastAsia="Calibri"/>
                <w:sz w:val="16"/>
                <w:szCs w:val="16"/>
                <w:vertAlign w:val="subscript"/>
                <w:lang w:val="en-US"/>
              </w:rPr>
              <w:t>i</w:t>
            </w:r>
            <w:r w:rsidR="00C1561C">
              <w:rPr>
                <w:rFonts w:eastAsia="Calibri"/>
                <w:sz w:val="20"/>
                <w:szCs w:val="20"/>
              </w:rPr>
              <w:t>+</w:t>
            </w:r>
            <w:r w:rsidRPr="00E947F2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05AB1">
              <w:rPr>
                <w:rFonts w:eastAsia="Calibri"/>
                <w:sz w:val="16"/>
                <w:szCs w:val="16"/>
                <w:vertAlign w:val="superscript"/>
              </w:rPr>
              <w:t>ПС</w:t>
            </w: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05AB1">
              <w:rPr>
                <w:rFonts w:eastAsia="Calibri"/>
                <w:sz w:val="16"/>
                <w:szCs w:val="16"/>
                <w:vertAlign w:val="superscript"/>
              </w:rPr>
              <w:t>ПС</w:t>
            </w:r>
            <w:r>
              <w:rPr>
                <w:rFonts w:eastAsia="Calibri"/>
                <w:sz w:val="20"/>
                <w:szCs w:val="20"/>
              </w:rPr>
              <w:t>*К</w:t>
            </w:r>
            <w:r>
              <w:rPr>
                <w:rFonts w:eastAsia="Calibri"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Pr="00E947F2">
              <w:rPr>
                <w:rFonts w:eastAsia="Calibri"/>
                <w:sz w:val="20"/>
                <w:szCs w:val="20"/>
              </w:rPr>
              <w:t>*</w:t>
            </w:r>
            <w:r>
              <w:rPr>
                <w:rFonts w:eastAsia="Calibri"/>
                <w:sz w:val="20"/>
                <w:szCs w:val="20"/>
              </w:rPr>
              <w:t>Э</w:t>
            </w:r>
            <w:r w:rsidRPr="00E947F2">
              <w:rPr>
                <w:rFonts w:eastAsia="Calibri"/>
                <w:sz w:val="16"/>
                <w:szCs w:val="16"/>
                <w:vertAlign w:val="superscript"/>
              </w:rPr>
              <w:t>ВН1</w:t>
            </w:r>
            <w:r>
              <w:rPr>
                <w:rFonts w:eastAsia="Calibri"/>
                <w:sz w:val="16"/>
                <w:szCs w:val="16"/>
                <w:vertAlign w:val="subscript"/>
              </w:rPr>
              <w:t>ПО</w:t>
            </w:r>
            <w:r>
              <w:rPr>
                <w:rFonts w:eastAsia="Calibri"/>
                <w:sz w:val="20"/>
                <w:szCs w:val="20"/>
              </w:rPr>
              <w:t>)/Э</w:t>
            </w:r>
            <w:r w:rsidRPr="00E947F2">
              <w:rPr>
                <w:rFonts w:eastAsia="Calibri"/>
                <w:sz w:val="16"/>
                <w:szCs w:val="16"/>
                <w:vertAlign w:val="superscript"/>
              </w:rPr>
              <w:t>ВН1</w:t>
            </w:r>
            <w:r w:rsidRPr="00E947F2">
              <w:rPr>
                <w:rFonts w:eastAsia="Calibri"/>
                <w:sz w:val="16"/>
                <w:szCs w:val="16"/>
                <w:vertAlign w:val="subscript"/>
              </w:rPr>
              <w:t>М</w:t>
            </w:r>
          </w:p>
        </w:tc>
      </w:tr>
      <w:tr w:rsidR="00BE2851" w:rsidRPr="000C5F5E" w:rsidTr="0044330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09" w:type="dxa"/>
            <w:vAlign w:val="center"/>
          </w:tcPr>
          <w:p w:rsidR="00BE2851" w:rsidRPr="000C5F5E" w:rsidRDefault="00BE2851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55" w:name="sub_28200012"/>
            <w:r w:rsidRPr="000C5F5E">
              <w:rPr>
                <w:rFonts w:eastAsia="Calibri"/>
                <w:sz w:val="20"/>
                <w:szCs w:val="20"/>
              </w:rPr>
              <w:t>1.2</w:t>
            </w:r>
            <w:bookmarkEnd w:id="55"/>
          </w:p>
        </w:tc>
        <w:tc>
          <w:tcPr>
            <w:tcW w:w="6237" w:type="dxa"/>
            <w:gridSpan w:val="2"/>
            <w:vAlign w:val="center"/>
          </w:tcPr>
          <w:p w:rsidR="00BE2851" w:rsidRPr="000C5F5E" w:rsidRDefault="00BE2851" w:rsidP="006E1A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C5F5E">
              <w:rPr>
                <w:rFonts w:eastAsia="Calibri"/>
                <w:sz w:val="20"/>
                <w:szCs w:val="20"/>
              </w:rPr>
              <w:t xml:space="preserve">ставка на оплату технологического расхода (потерь) </w:t>
            </w:r>
            <w:r w:rsidR="00860363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268605" cy="2584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BE2851" w:rsidRPr="000C5F5E" w:rsidRDefault="00860363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725805" cy="158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BE2851" w:rsidRPr="00E947F2" w:rsidRDefault="00BE2851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Pr="00E947F2">
              <w:rPr>
                <w:rFonts w:eastAsia="Calibri"/>
                <w:sz w:val="16"/>
                <w:szCs w:val="16"/>
                <w:vertAlign w:val="superscript"/>
              </w:rPr>
              <w:t>ФСК</w:t>
            </w:r>
            <w:r w:rsidRPr="00E947F2">
              <w:rPr>
                <w:rFonts w:eastAsia="Calibri"/>
                <w:sz w:val="16"/>
                <w:szCs w:val="16"/>
                <w:vertAlign w:val="subscript"/>
              </w:rPr>
              <w:t>пот</w:t>
            </w:r>
            <w:r>
              <w:rPr>
                <w:rFonts w:eastAsia="Calibri"/>
                <w:sz w:val="16"/>
                <w:szCs w:val="16"/>
                <w:vertAlign w:val="subscript"/>
                <w:lang w:val="en-US"/>
              </w:rPr>
              <w:t>i</w:t>
            </w:r>
            <w:r w:rsidRPr="00E947F2">
              <w:rPr>
                <w:rFonts w:eastAsia="Calibri"/>
                <w:sz w:val="20"/>
                <w:szCs w:val="20"/>
              </w:rPr>
              <w:t>*НТПЭ</w:t>
            </w:r>
          </w:p>
        </w:tc>
        <w:tc>
          <w:tcPr>
            <w:tcW w:w="3196" w:type="dxa"/>
            <w:vAlign w:val="center"/>
          </w:tcPr>
          <w:p w:rsidR="00BE2851" w:rsidRPr="000C5F5E" w:rsidRDefault="00BE2851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Pr="00E947F2">
              <w:rPr>
                <w:rFonts w:eastAsia="Calibri"/>
                <w:sz w:val="16"/>
                <w:szCs w:val="16"/>
                <w:vertAlign w:val="superscript"/>
              </w:rPr>
              <w:t>ФСК</w:t>
            </w:r>
            <w:r w:rsidRPr="00E947F2">
              <w:rPr>
                <w:rFonts w:eastAsia="Calibri"/>
                <w:sz w:val="16"/>
                <w:szCs w:val="16"/>
                <w:vertAlign w:val="subscript"/>
              </w:rPr>
              <w:t>пот</w:t>
            </w:r>
            <w:r>
              <w:rPr>
                <w:rFonts w:eastAsia="Calibri"/>
                <w:sz w:val="16"/>
                <w:szCs w:val="16"/>
                <w:vertAlign w:val="subscript"/>
                <w:lang w:val="en-US"/>
              </w:rPr>
              <w:t>i</w:t>
            </w:r>
            <w:r w:rsidRPr="00E947F2">
              <w:rPr>
                <w:rFonts w:eastAsia="Calibri"/>
                <w:sz w:val="20"/>
                <w:szCs w:val="20"/>
              </w:rPr>
              <w:t>*НТПЭ</w:t>
            </w:r>
          </w:p>
        </w:tc>
      </w:tr>
      <w:tr w:rsidR="00075616" w:rsidRPr="000C5F5E" w:rsidTr="006E1AD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075616" w:rsidRPr="000C5F5E" w:rsidRDefault="00075616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56" w:name="sub_2820002"/>
            <w:r w:rsidRPr="000C5F5E">
              <w:rPr>
                <w:rFonts w:eastAsia="Calibri"/>
                <w:sz w:val="20"/>
                <w:szCs w:val="20"/>
              </w:rPr>
              <w:t>2</w:t>
            </w:r>
            <w:bookmarkEnd w:id="56"/>
          </w:p>
        </w:tc>
        <w:tc>
          <w:tcPr>
            <w:tcW w:w="6237" w:type="dxa"/>
            <w:gridSpan w:val="2"/>
          </w:tcPr>
          <w:p w:rsidR="00075616" w:rsidRPr="000C5F5E" w:rsidRDefault="00075616" w:rsidP="000C5F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C5F5E">
              <w:rPr>
                <w:rFonts w:eastAsia="Calibri"/>
                <w:sz w:val="20"/>
                <w:szCs w:val="20"/>
              </w:rPr>
              <w:t>Составляющие цен (тарифов) на услуги по передаче электрической энергии по уровню напряжения (ВН1)</w:t>
            </w:r>
            <w:r w:rsidRPr="00075616">
              <w:rPr>
                <w:rFonts w:eastAsia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  <w:vAlign w:val="center"/>
          </w:tcPr>
          <w:p w:rsidR="00075616" w:rsidRPr="000C5F5E" w:rsidRDefault="00075616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C5F5E">
              <w:rPr>
                <w:rFonts w:eastAsia="Calibri"/>
                <w:sz w:val="20"/>
                <w:szCs w:val="20"/>
              </w:rPr>
              <w:t>Единица</w:t>
            </w:r>
          </w:p>
          <w:p w:rsidR="00075616" w:rsidRPr="000C5F5E" w:rsidRDefault="00075616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C5F5E">
              <w:rPr>
                <w:rFonts w:eastAsia="Calibri"/>
                <w:sz w:val="20"/>
                <w:szCs w:val="20"/>
              </w:rPr>
              <w:t>измерения</w:t>
            </w:r>
          </w:p>
        </w:tc>
        <w:tc>
          <w:tcPr>
            <w:tcW w:w="3260" w:type="dxa"/>
            <w:vAlign w:val="center"/>
          </w:tcPr>
          <w:p w:rsidR="00075616" w:rsidRPr="00075616" w:rsidRDefault="00075616" w:rsidP="00186A26">
            <w:pPr>
              <w:jc w:val="center"/>
              <w:outlineLvl w:val="0"/>
              <w:rPr>
                <w:color w:val="000000"/>
                <w:sz w:val="20"/>
              </w:rPr>
            </w:pPr>
            <w:r w:rsidRPr="00075616">
              <w:rPr>
                <w:color w:val="000000"/>
                <w:sz w:val="20"/>
              </w:rPr>
              <w:t>I полугодие</w:t>
            </w:r>
          </w:p>
        </w:tc>
        <w:tc>
          <w:tcPr>
            <w:tcW w:w="3196" w:type="dxa"/>
            <w:vAlign w:val="center"/>
          </w:tcPr>
          <w:p w:rsidR="00075616" w:rsidRPr="00075616" w:rsidRDefault="00075616" w:rsidP="00186A26">
            <w:pPr>
              <w:jc w:val="center"/>
              <w:outlineLvl w:val="0"/>
              <w:rPr>
                <w:color w:val="000000"/>
                <w:sz w:val="20"/>
              </w:rPr>
            </w:pPr>
            <w:r w:rsidRPr="00075616">
              <w:rPr>
                <w:color w:val="000000"/>
                <w:sz w:val="20"/>
              </w:rPr>
              <w:t>II полугодие</w:t>
            </w:r>
          </w:p>
        </w:tc>
      </w:tr>
      <w:tr w:rsidR="006C5920" w:rsidRPr="000C5F5E" w:rsidTr="002A46A5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C5920" w:rsidRPr="000C5F5E" w:rsidRDefault="006C5920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57" w:name="sub_28200021"/>
            <w:r w:rsidRPr="000C5F5E">
              <w:rPr>
                <w:rFonts w:eastAsia="Calibri"/>
                <w:sz w:val="20"/>
                <w:szCs w:val="20"/>
              </w:rPr>
              <w:t>2.1</w:t>
            </w:r>
            <w:bookmarkEnd w:id="57"/>
          </w:p>
        </w:tc>
        <w:tc>
          <w:tcPr>
            <w:tcW w:w="1663" w:type="dxa"/>
            <w:vAlign w:val="center"/>
          </w:tcPr>
          <w:p w:rsidR="006C5920" w:rsidRPr="000C5F5E" w:rsidRDefault="00860363" w:rsidP="000756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417195" cy="3378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6C5920" w:rsidRPr="000C5F5E" w:rsidRDefault="006C5920" w:rsidP="00075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C5F5E">
              <w:rPr>
                <w:rFonts w:eastAsia="Calibri"/>
                <w:sz w:val="20"/>
                <w:szCs w:val="20"/>
              </w:rPr>
              <w:t xml:space="preserve">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для </w:t>
            </w:r>
            <w:r>
              <w:rPr>
                <w:rFonts w:eastAsia="Calibri"/>
                <w:sz w:val="20"/>
                <w:szCs w:val="20"/>
              </w:rPr>
              <w:t>Забайкальского края</w:t>
            </w:r>
          </w:p>
        </w:tc>
        <w:tc>
          <w:tcPr>
            <w:tcW w:w="1560" w:type="dxa"/>
            <w:vAlign w:val="center"/>
          </w:tcPr>
          <w:p w:rsidR="006C5920" w:rsidRPr="000C5F5E" w:rsidRDefault="00860363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884555" cy="158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6C5920" w:rsidRPr="006C5920" w:rsidRDefault="006C5920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6C5920">
              <w:rPr>
                <w:color w:val="000000"/>
                <w:sz w:val="20"/>
                <w:szCs w:val="22"/>
              </w:rPr>
              <w:t>182 697,68</w:t>
            </w:r>
          </w:p>
        </w:tc>
        <w:tc>
          <w:tcPr>
            <w:tcW w:w="3196" w:type="dxa"/>
            <w:vAlign w:val="center"/>
          </w:tcPr>
          <w:p w:rsidR="006C5920" w:rsidRPr="006C5920" w:rsidRDefault="006C5920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6C5920">
              <w:rPr>
                <w:color w:val="000000"/>
                <w:sz w:val="20"/>
                <w:szCs w:val="22"/>
              </w:rPr>
              <w:t>192 746,05</w:t>
            </w:r>
          </w:p>
        </w:tc>
      </w:tr>
      <w:tr w:rsidR="0078310F" w:rsidRPr="000C5F5E" w:rsidTr="002A46A5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78310F" w:rsidRPr="000C5F5E" w:rsidRDefault="0078310F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58" w:name="sub_28200022"/>
            <w:r w:rsidRPr="000C5F5E">
              <w:rPr>
                <w:rFonts w:eastAsia="Calibri"/>
                <w:sz w:val="20"/>
                <w:szCs w:val="20"/>
              </w:rPr>
              <w:t>2.2</w:t>
            </w:r>
            <w:bookmarkEnd w:id="58"/>
          </w:p>
        </w:tc>
        <w:tc>
          <w:tcPr>
            <w:tcW w:w="1663" w:type="dxa"/>
            <w:vAlign w:val="center"/>
          </w:tcPr>
          <w:p w:rsidR="0078310F" w:rsidRPr="000C5F5E" w:rsidRDefault="00860363" w:rsidP="000756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248285" cy="2089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78310F" w:rsidRPr="000C5F5E" w:rsidRDefault="0078310F" w:rsidP="00075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C5F5E">
              <w:rPr>
                <w:rFonts w:eastAsia="Calibri"/>
                <w:sz w:val="20"/>
                <w:szCs w:val="20"/>
              </w:rPr>
              <w:t xml:space="preserve">ставка перекрестного субсидирования по </w:t>
            </w:r>
            <w:r>
              <w:rPr>
                <w:rFonts w:eastAsia="Calibri"/>
                <w:sz w:val="20"/>
                <w:szCs w:val="20"/>
              </w:rPr>
              <w:t>Забайкальскому краю</w:t>
            </w:r>
          </w:p>
        </w:tc>
        <w:tc>
          <w:tcPr>
            <w:tcW w:w="1560" w:type="dxa"/>
            <w:vAlign w:val="center"/>
          </w:tcPr>
          <w:p w:rsidR="0078310F" w:rsidRPr="000C5F5E" w:rsidRDefault="00860363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725805" cy="158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78310F" w:rsidRPr="0078310F" w:rsidRDefault="0078310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78310F">
              <w:rPr>
                <w:color w:val="000000"/>
                <w:sz w:val="20"/>
                <w:szCs w:val="22"/>
              </w:rPr>
              <w:t>420,00</w:t>
            </w:r>
          </w:p>
        </w:tc>
        <w:tc>
          <w:tcPr>
            <w:tcW w:w="3196" w:type="dxa"/>
            <w:vAlign w:val="center"/>
          </w:tcPr>
          <w:p w:rsidR="0078310F" w:rsidRPr="0078310F" w:rsidRDefault="0078310F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78310F">
              <w:rPr>
                <w:color w:val="000000"/>
                <w:sz w:val="20"/>
                <w:szCs w:val="22"/>
              </w:rPr>
              <w:t>420,00</w:t>
            </w:r>
          </w:p>
        </w:tc>
      </w:tr>
      <w:tr w:rsidR="006C5920" w:rsidRPr="000C5F5E" w:rsidTr="002A46A5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C5920" w:rsidRPr="000C5F5E" w:rsidRDefault="006C5920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59" w:name="sub_28200023"/>
            <w:r w:rsidRPr="000C5F5E">
              <w:rPr>
                <w:rFonts w:eastAsia="Calibri"/>
                <w:sz w:val="20"/>
                <w:szCs w:val="20"/>
              </w:rPr>
              <w:t>2.3</w:t>
            </w:r>
            <w:bookmarkEnd w:id="59"/>
          </w:p>
        </w:tc>
        <w:tc>
          <w:tcPr>
            <w:tcW w:w="1663" w:type="dxa"/>
            <w:vAlign w:val="center"/>
          </w:tcPr>
          <w:p w:rsidR="006C5920" w:rsidRPr="000C5F5E" w:rsidRDefault="00860363" w:rsidP="000756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149225" cy="168910"/>
                  <wp:effectExtent l="0" t="0" r="3175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6C5920" w:rsidRPr="000C5F5E" w:rsidRDefault="006C5920" w:rsidP="00075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C5F5E">
              <w:rPr>
                <w:rFonts w:eastAsia="Calibri"/>
                <w:sz w:val="20"/>
                <w:szCs w:val="20"/>
              </w:rPr>
              <w:t xml:space="preserve">коэффициент снижения ставки перекрестного субсидирования по </w:t>
            </w:r>
            <w:r>
              <w:rPr>
                <w:rFonts w:eastAsia="Calibri"/>
                <w:sz w:val="20"/>
                <w:szCs w:val="20"/>
              </w:rPr>
              <w:t>Забайкальскому краю</w:t>
            </w:r>
          </w:p>
        </w:tc>
        <w:tc>
          <w:tcPr>
            <w:tcW w:w="1560" w:type="dxa"/>
            <w:vAlign w:val="center"/>
          </w:tcPr>
          <w:p w:rsidR="006C5920" w:rsidRPr="000C5F5E" w:rsidRDefault="006C5920" w:rsidP="009F59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C5F5E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6C5920" w:rsidRPr="006C5920" w:rsidRDefault="006C5920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6C5920">
              <w:rPr>
                <w:color w:val="000000"/>
                <w:sz w:val="20"/>
                <w:szCs w:val="22"/>
              </w:rPr>
              <w:t>30,00%</w:t>
            </w:r>
          </w:p>
        </w:tc>
        <w:tc>
          <w:tcPr>
            <w:tcW w:w="3196" w:type="dxa"/>
            <w:vAlign w:val="center"/>
          </w:tcPr>
          <w:p w:rsidR="006C5920" w:rsidRPr="006C5920" w:rsidRDefault="006C5920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6C5920">
              <w:rPr>
                <w:color w:val="000000"/>
                <w:sz w:val="20"/>
                <w:szCs w:val="22"/>
              </w:rPr>
              <w:t>37,00%</w:t>
            </w:r>
          </w:p>
        </w:tc>
      </w:tr>
      <w:tr w:rsidR="00862EDB" w:rsidRPr="000C5F5E" w:rsidTr="002A46A5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862EDB" w:rsidRPr="000C5F5E" w:rsidRDefault="00862EDB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60" w:name="sub_28200024"/>
            <w:r w:rsidRPr="000C5F5E">
              <w:rPr>
                <w:rFonts w:eastAsia="Calibri"/>
                <w:sz w:val="20"/>
                <w:szCs w:val="20"/>
              </w:rPr>
              <w:lastRenderedPageBreak/>
              <w:t>2.4</w:t>
            </w:r>
            <w:bookmarkEnd w:id="60"/>
          </w:p>
        </w:tc>
        <w:tc>
          <w:tcPr>
            <w:tcW w:w="1663" w:type="dxa"/>
            <w:vAlign w:val="center"/>
          </w:tcPr>
          <w:p w:rsidR="00862EDB" w:rsidRPr="000C5F5E" w:rsidRDefault="00860363" w:rsidP="000756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417195" cy="3378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862EDB" w:rsidRPr="000C5F5E" w:rsidRDefault="00862EDB" w:rsidP="00075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C5F5E">
              <w:rPr>
                <w:rFonts w:eastAsia="Calibri"/>
                <w:sz w:val="20"/>
                <w:szCs w:val="20"/>
              </w:rPr>
              <w:t xml:space="preserve">ставка тарифа на оплату нормативных потерь электрической энергии при ее передаче по электрическим сетям единой национальной (общероссийской) электрической сети для </w:t>
            </w:r>
            <w:r>
              <w:rPr>
                <w:rFonts w:eastAsia="Calibri"/>
                <w:sz w:val="20"/>
                <w:szCs w:val="20"/>
              </w:rPr>
              <w:t xml:space="preserve">Забайкальского каря </w:t>
            </w:r>
            <w:r w:rsidRPr="000C5F5E">
              <w:rPr>
                <w:rFonts w:eastAsia="Calibri"/>
                <w:sz w:val="20"/>
                <w:szCs w:val="20"/>
              </w:rPr>
              <w:t>потребителем услуг по передаче электрической энергии по единой национальной (общероссийской) электрической сети</w:t>
            </w:r>
          </w:p>
        </w:tc>
        <w:tc>
          <w:tcPr>
            <w:tcW w:w="1560" w:type="dxa"/>
            <w:vAlign w:val="center"/>
          </w:tcPr>
          <w:p w:rsidR="00862EDB" w:rsidRPr="000C5F5E" w:rsidRDefault="00860363" w:rsidP="005E1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725805" cy="158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862EDB" w:rsidRPr="000C5F5E" w:rsidRDefault="00860363" w:rsidP="009F59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1202690" cy="636270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vAlign w:val="center"/>
          </w:tcPr>
          <w:p w:rsidR="00862EDB" w:rsidRPr="000C5F5E" w:rsidRDefault="00860363" w:rsidP="009F59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1202690" cy="636270"/>
                  <wp:effectExtent l="0" t="0" r="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FF2" w:rsidRPr="000C5F5E" w:rsidTr="0044330C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709" w:type="dxa"/>
            <w:vMerge w:val="restart"/>
            <w:vAlign w:val="center"/>
          </w:tcPr>
          <w:p w:rsidR="003D1FF2" w:rsidRPr="000C5F5E" w:rsidRDefault="003D1FF2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2.5</w:t>
            </w:r>
          </w:p>
        </w:tc>
        <w:tc>
          <w:tcPr>
            <w:tcW w:w="1663" w:type="dxa"/>
            <w:vMerge w:val="restart"/>
            <w:vAlign w:val="center"/>
          </w:tcPr>
          <w:p w:rsidR="003D1FF2" w:rsidRPr="000C5F5E" w:rsidRDefault="00860363" w:rsidP="000756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407670" cy="1689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3D1FF2" w:rsidRPr="009A11DD" w:rsidRDefault="003D1FF2" w:rsidP="00075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0C5F5E">
              <w:rPr>
                <w:rFonts w:eastAsia="Calibri"/>
                <w:sz w:val="20"/>
                <w:szCs w:val="20"/>
              </w:rPr>
              <w:t>норматив потерь электрической энергии при ее передаче по электрическим сетям единой национальной (общероссийской) электрической сети для соответствующего класса напряжения, утвержденный</w:t>
            </w:r>
          </w:p>
        </w:tc>
        <w:tc>
          <w:tcPr>
            <w:tcW w:w="1560" w:type="dxa"/>
            <w:vAlign w:val="center"/>
          </w:tcPr>
          <w:p w:rsidR="003D1FF2" w:rsidRPr="000C5F5E" w:rsidRDefault="003D1FF2" w:rsidP="005E1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D1FF2" w:rsidRPr="009C2688" w:rsidRDefault="003D1FF2" w:rsidP="009F5974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3D1FF2" w:rsidRPr="009C2688" w:rsidRDefault="003D1FF2" w:rsidP="009F5974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</w:tc>
      </w:tr>
      <w:tr w:rsidR="006C5920" w:rsidRPr="000C5F5E" w:rsidTr="002A46A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vAlign w:val="center"/>
          </w:tcPr>
          <w:p w:rsidR="006C5920" w:rsidRPr="000C5F5E" w:rsidRDefault="006C5920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:rsidR="006C5920" w:rsidRPr="000C5F5E" w:rsidRDefault="006C5920" w:rsidP="005E1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74" w:type="dxa"/>
          </w:tcPr>
          <w:p w:rsidR="006C5920" w:rsidRPr="000C5F5E" w:rsidRDefault="006C5920" w:rsidP="00075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C5F5E">
              <w:rPr>
                <w:rFonts w:eastAsia="Calibri"/>
                <w:sz w:val="20"/>
                <w:szCs w:val="20"/>
              </w:rPr>
              <w:t>330 кВ и выше</w:t>
            </w:r>
          </w:p>
        </w:tc>
        <w:tc>
          <w:tcPr>
            <w:tcW w:w="1560" w:type="dxa"/>
            <w:vAlign w:val="center"/>
          </w:tcPr>
          <w:p w:rsidR="006C5920" w:rsidRPr="000C5F5E" w:rsidRDefault="006C5920" w:rsidP="005E1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6C5920" w:rsidRPr="006C5920" w:rsidRDefault="006C5920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6C5920">
              <w:rPr>
                <w:color w:val="000000"/>
                <w:sz w:val="20"/>
                <w:szCs w:val="22"/>
              </w:rPr>
              <w:t>3,06%</w:t>
            </w:r>
          </w:p>
        </w:tc>
        <w:tc>
          <w:tcPr>
            <w:tcW w:w="3196" w:type="dxa"/>
            <w:vAlign w:val="center"/>
          </w:tcPr>
          <w:p w:rsidR="006C5920" w:rsidRPr="006C5920" w:rsidRDefault="006C5920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6C5920">
              <w:rPr>
                <w:color w:val="000000"/>
                <w:sz w:val="20"/>
                <w:szCs w:val="22"/>
              </w:rPr>
              <w:t>3,06%</w:t>
            </w:r>
          </w:p>
        </w:tc>
      </w:tr>
      <w:tr w:rsidR="006C5920" w:rsidRPr="000C5F5E" w:rsidTr="002A46A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vAlign w:val="center"/>
          </w:tcPr>
          <w:p w:rsidR="006C5920" w:rsidRPr="000C5F5E" w:rsidRDefault="006C5920" w:rsidP="003A1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:rsidR="006C5920" w:rsidRPr="000C5F5E" w:rsidRDefault="006C5920" w:rsidP="005E1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74" w:type="dxa"/>
          </w:tcPr>
          <w:p w:rsidR="006C5920" w:rsidRPr="000C5F5E" w:rsidRDefault="006C5920" w:rsidP="00075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C5F5E">
              <w:rPr>
                <w:rFonts w:eastAsia="Calibri"/>
                <w:sz w:val="20"/>
                <w:szCs w:val="20"/>
              </w:rPr>
              <w:t>220 кВ и ниже</w:t>
            </w:r>
          </w:p>
        </w:tc>
        <w:tc>
          <w:tcPr>
            <w:tcW w:w="1560" w:type="dxa"/>
            <w:vAlign w:val="center"/>
          </w:tcPr>
          <w:p w:rsidR="006C5920" w:rsidRPr="000C5F5E" w:rsidRDefault="006C5920" w:rsidP="005E1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6C5920" w:rsidRPr="006C5920" w:rsidRDefault="006C5920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6C5920">
              <w:rPr>
                <w:color w:val="000000"/>
                <w:sz w:val="20"/>
                <w:szCs w:val="22"/>
              </w:rPr>
              <w:t>5,25%</w:t>
            </w:r>
          </w:p>
        </w:tc>
        <w:tc>
          <w:tcPr>
            <w:tcW w:w="3196" w:type="dxa"/>
            <w:vAlign w:val="center"/>
          </w:tcPr>
          <w:p w:rsidR="006C5920" w:rsidRPr="006C5920" w:rsidRDefault="006C5920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6C5920">
              <w:rPr>
                <w:color w:val="000000"/>
                <w:sz w:val="20"/>
                <w:szCs w:val="22"/>
              </w:rPr>
              <w:t>5,25%</w:t>
            </w:r>
          </w:p>
        </w:tc>
      </w:tr>
    </w:tbl>
    <w:p w:rsidR="00075616" w:rsidRPr="00075616" w:rsidRDefault="00075616" w:rsidP="0044330C">
      <w:pPr>
        <w:pStyle w:val="14pt"/>
        <w:tabs>
          <w:tab w:val="left" w:pos="1276"/>
        </w:tabs>
        <w:spacing w:before="120"/>
        <w:ind w:left="851" w:firstLine="0"/>
        <w:rPr>
          <w:b w:val="0"/>
          <w:sz w:val="20"/>
          <w:szCs w:val="20"/>
        </w:rPr>
      </w:pPr>
      <w:r w:rsidRPr="00075616">
        <w:rPr>
          <w:b w:val="0"/>
          <w:sz w:val="20"/>
          <w:szCs w:val="20"/>
        </w:rPr>
        <w:t>Примечание:</w:t>
      </w:r>
    </w:p>
    <w:p w:rsidR="004C05DB" w:rsidRPr="006E5F4D" w:rsidRDefault="00075616" w:rsidP="0044330C">
      <w:pPr>
        <w:pStyle w:val="14pt"/>
        <w:numPr>
          <w:ilvl w:val="0"/>
          <w:numId w:val="15"/>
        </w:numPr>
        <w:tabs>
          <w:tab w:val="left" w:pos="1276"/>
        </w:tabs>
        <w:ind w:left="284" w:right="-173" w:firstLine="567"/>
        <w:jc w:val="both"/>
      </w:pPr>
      <w:r w:rsidRPr="00075616">
        <w:rPr>
          <w:rFonts w:eastAsia="Calibri"/>
          <w:b w:val="0"/>
          <w:sz w:val="20"/>
          <w:szCs w:val="20"/>
        </w:rPr>
        <w:t>Используемые в настоящей таблице термины и обозначения соответствуют понятиям, отраженным в Основах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 Остальные составляющие формулы являются переменными значениями и указываются в буквенном выражении.</w:t>
      </w:r>
    </w:p>
    <w:p w:rsidR="006E5F4D" w:rsidRDefault="006E5F4D" w:rsidP="006E5F4D">
      <w:pPr>
        <w:pStyle w:val="14pt"/>
        <w:tabs>
          <w:tab w:val="left" w:pos="1276"/>
        </w:tabs>
        <w:ind w:left="851" w:right="-173" w:firstLine="0"/>
        <w:jc w:val="both"/>
        <w:rPr>
          <w:rFonts w:eastAsia="Calibri"/>
          <w:b w:val="0"/>
          <w:sz w:val="20"/>
          <w:szCs w:val="20"/>
        </w:rPr>
      </w:pPr>
    </w:p>
    <w:p w:rsidR="006E5F4D" w:rsidRDefault="006E5F4D" w:rsidP="006E5F4D">
      <w:pPr>
        <w:pStyle w:val="14pt"/>
        <w:tabs>
          <w:tab w:val="left" w:pos="1276"/>
        </w:tabs>
        <w:ind w:left="851" w:right="-173" w:firstLine="0"/>
        <w:jc w:val="both"/>
      </w:pPr>
    </w:p>
    <w:p w:rsidR="00614263" w:rsidRDefault="00614263" w:rsidP="00614263">
      <w:pPr>
        <w:pStyle w:val="14pt"/>
        <w:ind w:left="0" w:firstLine="0"/>
        <w:jc w:val="center"/>
      </w:pPr>
      <w:r>
        <w:t>_____________________________</w:t>
      </w:r>
    </w:p>
    <w:p w:rsidR="000848C9" w:rsidRDefault="000848C9" w:rsidP="000848C9">
      <w:pPr>
        <w:pStyle w:val="14pt"/>
        <w:ind w:left="0" w:firstLine="0"/>
      </w:pPr>
    </w:p>
    <w:p w:rsidR="000848C9" w:rsidRDefault="000848C9" w:rsidP="000848C9">
      <w:pPr>
        <w:pStyle w:val="14pt"/>
        <w:ind w:left="0" w:firstLine="0"/>
        <w:sectPr w:rsidR="000848C9" w:rsidSect="00763230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3A0A1E" w:rsidRDefault="003A0A1E" w:rsidP="004C6F8F">
      <w:pPr>
        <w:tabs>
          <w:tab w:val="left" w:pos="6521"/>
          <w:tab w:val="left" w:pos="14317"/>
        </w:tabs>
        <w:ind w:right="-427"/>
        <w:rPr>
          <w:sz w:val="28"/>
          <w:szCs w:val="28"/>
        </w:rPr>
      </w:pPr>
    </w:p>
    <w:sectPr w:rsidR="003A0A1E" w:rsidSect="004C05DB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5E" w:rsidRDefault="008D755E" w:rsidP="00B070C9">
      <w:r>
        <w:separator/>
      </w:r>
    </w:p>
  </w:endnote>
  <w:endnote w:type="continuationSeparator" w:id="0">
    <w:p w:rsidR="008D755E" w:rsidRDefault="008D755E" w:rsidP="00B0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5E" w:rsidRDefault="008D755E" w:rsidP="00B070C9">
      <w:r>
        <w:separator/>
      </w:r>
    </w:p>
  </w:footnote>
  <w:footnote w:type="continuationSeparator" w:id="0">
    <w:p w:rsidR="008D755E" w:rsidRDefault="008D755E" w:rsidP="00B07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11" w:rsidRDefault="002A0311" w:rsidP="000B7201">
    <w:pPr>
      <w:pStyle w:val="a4"/>
      <w:jc w:val="center"/>
    </w:pPr>
    <w:r w:rsidRPr="00472D1B">
      <w:fldChar w:fldCharType="begin"/>
    </w:r>
    <w:r w:rsidRPr="00472D1B">
      <w:instrText xml:space="preserve"> PAGE   \* MERGEFORMAT </w:instrText>
    </w:r>
    <w:r w:rsidRPr="00472D1B">
      <w:fldChar w:fldCharType="separate"/>
    </w:r>
    <w:r w:rsidR="00860363">
      <w:rPr>
        <w:noProof/>
      </w:rPr>
      <w:t>7</w:t>
    </w:r>
    <w:r w:rsidRPr="00472D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61A"/>
    <w:multiLevelType w:val="multilevel"/>
    <w:tmpl w:val="17F0B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1D1566D5"/>
    <w:multiLevelType w:val="multilevel"/>
    <w:tmpl w:val="C7C427D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1B12914"/>
    <w:multiLevelType w:val="hybridMultilevel"/>
    <w:tmpl w:val="2CCE23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B901AB"/>
    <w:multiLevelType w:val="multilevel"/>
    <w:tmpl w:val="6928B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D410F2"/>
    <w:multiLevelType w:val="hybridMultilevel"/>
    <w:tmpl w:val="FDFEA974"/>
    <w:lvl w:ilvl="0" w:tplc="80A4AB6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5067F99"/>
    <w:multiLevelType w:val="multilevel"/>
    <w:tmpl w:val="D5628D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03632DE"/>
    <w:multiLevelType w:val="hybridMultilevel"/>
    <w:tmpl w:val="E02A3FF0"/>
    <w:lvl w:ilvl="0" w:tplc="906A98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69B3"/>
    <w:multiLevelType w:val="hybridMultilevel"/>
    <w:tmpl w:val="AFEEEC62"/>
    <w:lvl w:ilvl="0" w:tplc="4F18CD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A5B57FA"/>
    <w:multiLevelType w:val="multilevel"/>
    <w:tmpl w:val="0B1228A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39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39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39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9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67810"/>
    <w:multiLevelType w:val="hybridMultilevel"/>
    <w:tmpl w:val="2CB21376"/>
    <w:lvl w:ilvl="0" w:tplc="54581C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C22750F"/>
    <w:multiLevelType w:val="multilevel"/>
    <w:tmpl w:val="17F0B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7FCB55D0"/>
    <w:multiLevelType w:val="hybridMultilevel"/>
    <w:tmpl w:val="75281A1C"/>
    <w:lvl w:ilvl="0" w:tplc="02BC4D8C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1"/>
  </w:num>
  <w:num w:numId="10">
    <w:abstractNumId w:val="14"/>
  </w:num>
  <w:num w:numId="11">
    <w:abstractNumId w:val="8"/>
  </w:num>
  <w:num w:numId="12">
    <w:abstractNumId w:val="3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1E"/>
    <w:rsid w:val="000029B3"/>
    <w:rsid w:val="00006FDA"/>
    <w:rsid w:val="000154C8"/>
    <w:rsid w:val="0002039D"/>
    <w:rsid w:val="00032474"/>
    <w:rsid w:val="000346A3"/>
    <w:rsid w:val="000376E9"/>
    <w:rsid w:val="000427C4"/>
    <w:rsid w:val="00043308"/>
    <w:rsid w:val="000439BB"/>
    <w:rsid w:val="00045EFB"/>
    <w:rsid w:val="000534DA"/>
    <w:rsid w:val="00053C35"/>
    <w:rsid w:val="00062082"/>
    <w:rsid w:val="000664E3"/>
    <w:rsid w:val="000726C8"/>
    <w:rsid w:val="00073DE4"/>
    <w:rsid w:val="00075616"/>
    <w:rsid w:val="00076138"/>
    <w:rsid w:val="0008274B"/>
    <w:rsid w:val="000831FD"/>
    <w:rsid w:val="000848C9"/>
    <w:rsid w:val="000879FB"/>
    <w:rsid w:val="0009713E"/>
    <w:rsid w:val="0009796F"/>
    <w:rsid w:val="000A2FD6"/>
    <w:rsid w:val="000B0844"/>
    <w:rsid w:val="000B13A7"/>
    <w:rsid w:val="000B1DCD"/>
    <w:rsid w:val="000B7201"/>
    <w:rsid w:val="000C4313"/>
    <w:rsid w:val="000C5F5E"/>
    <w:rsid w:val="000C6DAF"/>
    <w:rsid w:val="000C7B88"/>
    <w:rsid w:val="000D59EC"/>
    <w:rsid w:val="000E1CB5"/>
    <w:rsid w:val="000E60F9"/>
    <w:rsid w:val="000F0832"/>
    <w:rsid w:val="000F1E2B"/>
    <w:rsid w:val="000F214B"/>
    <w:rsid w:val="000F39B7"/>
    <w:rsid w:val="000F5578"/>
    <w:rsid w:val="00106C9F"/>
    <w:rsid w:val="001154B0"/>
    <w:rsid w:val="00117167"/>
    <w:rsid w:val="00117F91"/>
    <w:rsid w:val="00121640"/>
    <w:rsid w:val="0012168F"/>
    <w:rsid w:val="0012303A"/>
    <w:rsid w:val="00133DFB"/>
    <w:rsid w:val="00135041"/>
    <w:rsid w:val="0014122D"/>
    <w:rsid w:val="00145320"/>
    <w:rsid w:val="00147A60"/>
    <w:rsid w:val="00147FAC"/>
    <w:rsid w:val="00152AB8"/>
    <w:rsid w:val="001533D3"/>
    <w:rsid w:val="001577D6"/>
    <w:rsid w:val="00157D20"/>
    <w:rsid w:val="00160935"/>
    <w:rsid w:val="00164AC1"/>
    <w:rsid w:val="00165AA7"/>
    <w:rsid w:val="001661CB"/>
    <w:rsid w:val="00174545"/>
    <w:rsid w:val="00182981"/>
    <w:rsid w:val="00183AE1"/>
    <w:rsid w:val="00186A26"/>
    <w:rsid w:val="00187934"/>
    <w:rsid w:val="00187FD1"/>
    <w:rsid w:val="00194B8E"/>
    <w:rsid w:val="00194FC6"/>
    <w:rsid w:val="001B1B53"/>
    <w:rsid w:val="001B5297"/>
    <w:rsid w:val="001B7EC5"/>
    <w:rsid w:val="001C09F2"/>
    <w:rsid w:val="001C135C"/>
    <w:rsid w:val="001C6812"/>
    <w:rsid w:val="001D094B"/>
    <w:rsid w:val="001D21D1"/>
    <w:rsid w:val="001D305F"/>
    <w:rsid w:val="001D3915"/>
    <w:rsid w:val="001D58D4"/>
    <w:rsid w:val="001D5979"/>
    <w:rsid w:val="001D7F53"/>
    <w:rsid w:val="001E1ECD"/>
    <w:rsid w:val="001F0506"/>
    <w:rsid w:val="001F1DD0"/>
    <w:rsid w:val="00200957"/>
    <w:rsid w:val="002126B3"/>
    <w:rsid w:val="00213EA8"/>
    <w:rsid w:val="0021589B"/>
    <w:rsid w:val="00227636"/>
    <w:rsid w:val="00236A7E"/>
    <w:rsid w:val="00243A6D"/>
    <w:rsid w:val="002535FB"/>
    <w:rsid w:val="00255F7F"/>
    <w:rsid w:val="00257972"/>
    <w:rsid w:val="0027564D"/>
    <w:rsid w:val="00285464"/>
    <w:rsid w:val="002865EF"/>
    <w:rsid w:val="0029133A"/>
    <w:rsid w:val="0029189A"/>
    <w:rsid w:val="00291B76"/>
    <w:rsid w:val="00292120"/>
    <w:rsid w:val="00297F0E"/>
    <w:rsid w:val="002A0311"/>
    <w:rsid w:val="002A0D7F"/>
    <w:rsid w:val="002A3840"/>
    <w:rsid w:val="002A46A5"/>
    <w:rsid w:val="002B173A"/>
    <w:rsid w:val="002C04D8"/>
    <w:rsid w:val="002C5B87"/>
    <w:rsid w:val="002D13D7"/>
    <w:rsid w:val="002D29C5"/>
    <w:rsid w:val="002D68FB"/>
    <w:rsid w:val="002D7F2B"/>
    <w:rsid w:val="002E17B0"/>
    <w:rsid w:val="002E6E54"/>
    <w:rsid w:val="002F2B6E"/>
    <w:rsid w:val="002F5AED"/>
    <w:rsid w:val="002F7971"/>
    <w:rsid w:val="00303E6F"/>
    <w:rsid w:val="00305AB1"/>
    <w:rsid w:val="003106BF"/>
    <w:rsid w:val="00313954"/>
    <w:rsid w:val="00321F46"/>
    <w:rsid w:val="0032398F"/>
    <w:rsid w:val="00345D01"/>
    <w:rsid w:val="0034743B"/>
    <w:rsid w:val="0034779E"/>
    <w:rsid w:val="00357137"/>
    <w:rsid w:val="00357777"/>
    <w:rsid w:val="0036466C"/>
    <w:rsid w:val="00374C76"/>
    <w:rsid w:val="0037500E"/>
    <w:rsid w:val="00376B0C"/>
    <w:rsid w:val="00377B40"/>
    <w:rsid w:val="00380933"/>
    <w:rsid w:val="0038368B"/>
    <w:rsid w:val="003848DA"/>
    <w:rsid w:val="00384AF2"/>
    <w:rsid w:val="003914B6"/>
    <w:rsid w:val="003A078C"/>
    <w:rsid w:val="003A0A1E"/>
    <w:rsid w:val="003A1548"/>
    <w:rsid w:val="003A1561"/>
    <w:rsid w:val="003A3C82"/>
    <w:rsid w:val="003A67BC"/>
    <w:rsid w:val="003B3EEE"/>
    <w:rsid w:val="003B4092"/>
    <w:rsid w:val="003C0AC9"/>
    <w:rsid w:val="003C115A"/>
    <w:rsid w:val="003C4442"/>
    <w:rsid w:val="003D1FF2"/>
    <w:rsid w:val="003D6ED9"/>
    <w:rsid w:val="003E07D3"/>
    <w:rsid w:val="003E0A5A"/>
    <w:rsid w:val="003E5216"/>
    <w:rsid w:val="003E6183"/>
    <w:rsid w:val="003E6329"/>
    <w:rsid w:val="003E7295"/>
    <w:rsid w:val="003E7766"/>
    <w:rsid w:val="003F21A3"/>
    <w:rsid w:val="00400230"/>
    <w:rsid w:val="00403A39"/>
    <w:rsid w:val="00410298"/>
    <w:rsid w:val="00410E30"/>
    <w:rsid w:val="00421E0D"/>
    <w:rsid w:val="00432582"/>
    <w:rsid w:val="004377E4"/>
    <w:rsid w:val="00441E74"/>
    <w:rsid w:val="0044330C"/>
    <w:rsid w:val="004449E2"/>
    <w:rsid w:val="004470D1"/>
    <w:rsid w:val="004543EC"/>
    <w:rsid w:val="004552DB"/>
    <w:rsid w:val="00455F5A"/>
    <w:rsid w:val="00460CB8"/>
    <w:rsid w:val="00472D1B"/>
    <w:rsid w:val="004826A6"/>
    <w:rsid w:val="00485AD0"/>
    <w:rsid w:val="00496590"/>
    <w:rsid w:val="004A0B28"/>
    <w:rsid w:val="004A12F4"/>
    <w:rsid w:val="004A235B"/>
    <w:rsid w:val="004A5768"/>
    <w:rsid w:val="004B0E29"/>
    <w:rsid w:val="004B5A9F"/>
    <w:rsid w:val="004B61B6"/>
    <w:rsid w:val="004C05DB"/>
    <w:rsid w:val="004C24CE"/>
    <w:rsid w:val="004C6F8F"/>
    <w:rsid w:val="004C7165"/>
    <w:rsid w:val="004D019E"/>
    <w:rsid w:val="004D7486"/>
    <w:rsid w:val="004E4828"/>
    <w:rsid w:val="004F04BE"/>
    <w:rsid w:val="004F0A0A"/>
    <w:rsid w:val="004F2AB6"/>
    <w:rsid w:val="004F2AFE"/>
    <w:rsid w:val="004F30FB"/>
    <w:rsid w:val="0050009B"/>
    <w:rsid w:val="00502D8B"/>
    <w:rsid w:val="00504ECC"/>
    <w:rsid w:val="005128A4"/>
    <w:rsid w:val="00515021"/>
    <w:rsid w:val="00515BD0"/>
    <w:rsid w:val="005204E2"/>
    <w:rsid w:val="005265C3"/>
    <w:rsid w:val="00542086"/>
    <w:rsid w:val="00553470"/>
    <w:rsid w:val="005632A9"/>
    <w:rsid w:val="00563A40"/>
    <w:rsid w:val="00566850"/>
    <w:rsid w:val="00567F00"/>
    <w:rsid w:val="00570290"/>
    <w:rsid w:val="005711BC"/>
    <w:rsid w:val="00575BB7"/>
    <w:rsid w:val="00587AD4"/>
    <w:rsid w:val="005A10D5"/>
    <w:rsid w:val="005A2F92"/>
    <w:rsid w:val="005A44BA"/>
    <w:rsid w:val="005B4E70"/>
    <w:rsid w:val="005C589A"/>
    <w:rsid w:val="005C6536"/>
    <w:rsid w:val="005C7536"/>
    <w:rsid w:val="005D03DF"/>
    <w:rsid w:val="005D2F4D"/>
    <w:rsid w:val="005E17BB"/>
    <w:rsid w:val="005F175F"/>
    <w:rsid w:val="005F73DB"/>
    <w:rsid w:val="00600B4E"/>
    <w:rsid w:val="00600D96"/>
    <w:rsid w:val="00607628"/>
    <w:rsid w:val="00614263"/>
    <w:rsid w:val="00624019"/>
    <w:rsid w:val="006306BE"/>
    <w:rsid w:val="006311A0"/>
    <w:rsid w:val="00634033"/>
    <w:rsid w:val="0063561E"/>
    <w:rsid w:val="006405C3"/>
    <w:rsid w:val="00641633"/>
    <w:rsid w:val="00652371"/>
    <w:rsid w:val="006534D0"/>
    <w:rsid w:val="006563D5"/>
    <w:rsid w:val="006805D1"/>
    <w:rsid w:val="006907B3"/>
    <w:rsid w:val="00695867"/>
    <w:rsid w:val="00696C89"/>
    <w:rsid w:val="0069791A"/>
    <w:rsid w:val="006979B4"/>
    <w:rsid w:val="006A279B"/>
    <w:rsid w:val="006A281D"/>
    <w:rsid w:val="006A3DB9"/>
    <w:rsid w:val="006C2CCC"/>
    <w:rsid w:val="006C5920"/>
    <w:rsid w:val="006C6AFF"/>
    <w:rsid w:val="006C72F4"/>
    <w:rsid w:val="006D36DD"/>
    <w:rsid w:val="006E0F89"/>
    <w:rsid w:val="006E111F"/>
    <w:rsid w:val="006E1ADF"/>
    <w:rsid w:val="006E5F4D"/>
    <w:rsid w:val="006E6B9B"/>
    <w:rsid w:val="006F2FAD"/>
    <w:rsid w:val="006F4545"/>
    <w:rsid w:val="006F4B78"/>
    <w:rsid w:val="006F560A"/>
    <w:rsid w:val="006F6511"/>
    <w:rsid w:val="00703BEF"/>
    <w:rsid w:val="0071081D"/>
    <w:rsid w:val="00710E74"/>
    <w:rsid w:val="007178FC"/>
    <w:rsid w:val="007265A3"/>
    <w:rsid w:val="00734E6A"/>
    <w:rsid w:val="00736277"/>
    <w:rsid w:val="0074067A"/>
    <w:rsid w:val="007418A0"/>
    <w:rsid w:val="0074354A"/>
    <w:rsid w:val="0074545C"/>
    <w:rsid w:val="00745C6D"/>
    <w:rsid w:val="00746238"/>
    <w:rsid w:val="00747029"/>
    <w:rsid w:val="0075095B"/>
    <w:rsid w:val="00763230"/>
    <w:rsid w:val="00773668"/>
    <w:rsid w:val="0077669C"/>
    <w:rsid w:val="0078310F"/>
    <w:rsid w:val="00796588"/>
    <w:rsid w:val="00796FC0"/>
    <w:rsid w:val="007A4818"/>
    <w:rsid w:val="007A5091"/>
    <w:rsid w:val="007A684E"/>
    <w:rsid w:val="007A6C53"/>
    <w:rsid w:val="007B2764"/>
    <w:rsid w:val="007B347D"/>
    <w:rsid w:val="007B4CF1"/>
    <w:rsid w:val="007B5BFD"/>
    <w:rsid w:val="007D35EE"/>
    <w:rsid w:val="007D70CF"/>
    <w:rsid w:val="007E0B19"/>
    <w:rsid w:val="007E174D"/>
    <w:rsid w:val="007E33CE"/>
    <w:rsid w:val="007E450B"/>
    <w:rsid w:val="007E564A"/>
    <w:rsid w:val="007E696C"/>
    <w:rsid w:val="007F34B6"/>
    <w:rsid w:val="007F60CD"/>
    <w:rsid w:val="007F7FF3"/>
    <w:rsid w:val="00800AC4"/>
    <w:rsid w:val="00800DB2"/>
    <w:rsid w:val="00800E0A"/>
    <w:rsid w:val="008129BC"/>
    <w:rsid w:val="00815EF2"/>
    <w:rsid w:val="008162F7"/>
    <w:rsid w:val="00820358"/>
    <w:rsid w:val="00820C45"/>
    <w:rsid w:val="00822D65"/>
    <w:rsid w:val="008304FF"/>
    <w:rsid w:val="00841990"/>
    <w:rsid w:val="00842FA1"/>
    <w:rsid w:val="0085065C"/>
    <w:rsid w:val="00853772"/>
    <w:rsid w:val="00853FB6"/>
    <w:rsid w:val="00856A93"/>
    <w:rsid w:val="00856D36"/>
    <w:rsid w:val="00860363"/>
    <w:rsid w:val="008605DE"/>
    <w:rsid w:val="00862EDB"/>
    <w:rsid w:val="00866A94"/>
    <w:rsid w:val="0086788F"/>
    <w:rsid w:val="00867B6D"/>
    <w:rsid w:val="00870B9B"/>
    <w:rsid w:val="00872CB9"/>
    <w:rsid w:val="008817AD"/>
    <w:rsid w:val="008B03C7"/>
    <w:rsid w:val="008B244C"/>
    <w:rsid w:val="008C20F9"/>
    <w:rsid w:val="008C50F6"/>
    <w:rsid w:val="008C664E"/>
    <w:rsid w:val="008D755E"/>
    <w:rsid w:val="008E2DB9"/>
    <w:rsid w:val="008E6427"/>
    <w:rsid w:val="008E676B"/>
    <w:rsid w:val="008F0B91"/>
    <w:rsid w:val="008F0DA0"/>
    <w:rsid w:val="008F4E3B"/>
    <w:rsid w:val="008F740C"/>
    <w:rsid w:val="00907143"/>
    <w:rsid w:val="00911A23"/>
    <w:rsid w:val="009211FC"/>
    <w:rsid w:val="00924ECC"/>
    <w:rsid w:val="00945F8D"/>
    <w:rsid w:val="00951022"/>
    <w:rsid w:val="009605A1"/>
    <w:rsid w:val="00966151"/>
    <w:rsid w:val="0096624F"/>
    <w:rsid w:val="0097302D"/>
    <w:rsid w:val="009743EF"/>
    <w:rsid w:val="00995F72"/>
    <w:rsid w:val="009966DE"/>
    <w:rsid w:val="009A0464"/>
    <w:rsid w:val="009A11DD"/>
    <w:rsid w:val="009A1E33"/>
    <w:rsid w:val="009C1E08"/>
    <w:rsid w:val="009C2688"/>
    <w:rsid w:val="009D2CCD"/>
    <w:rsid w:val="009D716D"/>
    <w:rsid w:val="009E4251"/>
    <w:rsid w:val="009E4DAE"/>
    <w:rsid w:val="009F2F11"/>
    <w:rsid w:val="009F3617"/>
    <w:rsid w:val="009F58A9"/>
    <w:rsid w:val="009F5974"/>
    <w:rsid w:val="009F6B1D"/>
    <w:rsid w:val="00A01D69"/>
    <w:rsid w:val="00A0383A"/>
    <w:rsid w:val="00A04684"/>
    <w:rsid w:val="00A07CA7"/>
    <w:rsid w:val="00A1590B"/>
    <w:rsid w:val="00A21650"/>
    <w:rsid w:val="00A22C9F"/>
    <w:rsid w:val="00A2320A"/>
    <w:rsid w:val="00A32D8D"/>
    <w:rsid w:val="00A33466"/>
    <w:rsid w:val="00A4125D"/>
    <w:rsid w:val="00A43032"/>
    <w:rsid w:val="00A47AEB"/>
    <w:rsid w:val="00A54F61"/>
    <w:rsid w:val="00A6415D"/>
    <w:rsid w:val="00A72DFF"/>
    <w:rsid w:val="00A7337C"/>
    <w:rsid w:val="00A7362B"/>
    <w:rsid w:val="00A930F7"/>
    <w:rsid w:val="00AA4BB9"/>
    <w:rsid w:val="00AA4F52"/>
    <w:rsid w:val="00AA6D4C"/>
    <w:rsid w:val="00AB1149"/>
    <w:rsid w:val="00AB3858"/>
    <w:rsid w:val="00AB51C9"/>
    <w:rsid w:val="00AB61D7"/>
    <w:rsid w:val="00AB6E24"/>
    <w:rsid w:val="00AC0C61"/>
    <w:rsid w:val="00AC282B"/>
    <w:rsid w:val="00AD22C8"/>
    <w:rsid w:val="00AD2BD7"/>
    <w:rsid w:val="00AD2E8D"/>
    <w:rsid w:val="00AE0608"/>
    <w:rsid w:val="00AE14D4"/>
    <w:rsid w:val="00AE15B5"/>
    <w:rsid w:val="00AE3DE4"/>
    <w:rsid w:val="00AF03B7"/>
    <w:rsid w:val="00AF0F11"/>
    <w:rsid w:val="00AF18BE"/>
    <w:rsid w:val="00AF55CA"/>
    <w:rsid w:val="00B069FF"/>
    <w:rsid w:val="00B070C9"/>
    <w:rsid w:val="00B07C74"/>
    <w:rsid w:val="00B11EE4"/>
    <w:rsid w:val="00B12E0F"/>
    <w:rsid w:val="00B218A3"/>
    <w:rsid w:val="00B311EE"/>
    <w:rsid w:val="00B31AA6"/>
    <w:rsid w:val="00B37A76"/>
    <w:rsid w:val="00B41C0D"/>
    <w:rsid w:val="00B43CA0"/>
    <w:rsid w:val="00B4540C"/>
    <w:rsid w:val="00B46CB5"/>
    <w:rsid w:val="00B52AEB"/>
    <w:rsid w:val="00B61F25"/>
    <w:rsid w:val="00B63C76"/>
    <w:rsid w:val="00B64F97"/>
    <w:rsid w:val="00B6568A"/>
    <w:rsid w:val="00B721EF"/>
    <w:rsid w:val="00B822C9"/>
    <w:rsid w:val="00B83D1C"/>
    <w:rsid w:val="00B851AD"/>
    <w:rsid w:val="00B918B2"/>
    <w:rsid w:val="00B95877"/>
    <w:rsid w:val="00BA0FA5"/>
    <w:rsid w:val="00BA6E50"/>
    <w:rsid w:val="00BA72C3"/>
    <w:rsid w:val="00BB68BE"/>
    <w:rsid w:val="00BC217E"/>
    <w:rsid w:val="00BC743C"/>
    <w:rsid w:val="00BD0C68"/>
    <w:rsid w:val="00BD3B24"/>
    <w:rsid w:val="00BE2851"/>
    <w:rsid w:val="00BE3A3B"/>
    <w:rsid w:val="00BE7D4D"/>
    <w:rsid w:val="00BF1DEF"/>
    <w:rsid w:val="00C1216D"/>
    <w:rsid w:val="00C1561C"/>
    <w:rsid w:val="00C27453"/>
    <w:rsid w:val="00C27B48"/>
    <w:rsid w:val="00C32024"/>
    <w:rsid w:val="00C35097"/>
    <w:rsid w:val="00C37EB9"/>
    <w:rsid w:val="00C41217"/>
    <w:rsid w:val="00C41A47"/>
    <w:rsid w:val="00C50162"/>
    <w:rsid w:val="00C53ECB"/>
    <w:rsid w:val="00C54887"/>
    <w:rsid w:val="00C54C53"/>
    <w:rsid w:val="00C574A8"/>
    <w:rsid w:val="00C60B04"/>
    <w:rsid w:val="00C62E0A"/>
    <w:rsid w:val="00C73DCD"/>
    <w:rsid w:val="00C7744D"/>
    <w:rsid w:val="00C821D0"/>
    <w:rsid w:val="00C905B8"/>
    <w:rsid w:val="00C90744"/>
    <w:rsid w:val="00CA4A80"/>
    <w:rsid w:val="00CA60D2"/>
    <w:rsid w:val="00CA7DE5"/>
    <w:rsid w:val="00CB024A"/>
    <w:rsid w:val="00CB350D"/>
    <w:rsid w:val="00CB380E"/>
    <w:rsid w:val="00CB4370"/>
    <w:rsid w:val="00CC2454"/>
    <w:rsid w:val="00CC54DB"/>
    <w:rsid w:val="00CC6556"/>
    <w:rsid w:val="00CD3CAD"/>
    <w:rsid w:val="00CE5E65"/>
    <w:rsid w:val="00CE73EA"/>
    <w:rsid w:val="00CE7DC2"/>
    <w:rsid w:val="00CF1A0B"/>
    <w:rsid w:val="00CF4619"/>
    <w:rsid w:val="00D04A2F"/>
    <w:rsid w:val="00D114CF"/>
    <w:rsid w:val="00D169DC"/>
    <w:rsid w:val="00D16BC3"/>
    <w:rsid w:val="00D209FF"/>
    <w:rsid w:val="00D210F9"/>
    <w:rsid w:val="00D22268"/>
    <w:rsid w:val="00D27F4C"/>
    <w:rsid w:val="00D30801"/>
    <w:rsid w:val="00D52C2B"/>
    <w:rsid w:val="00D542F0"/>
    <w:rsid w:val="00D54359"/>
    <w:rsid w:val="00D549C2"/>
    <w:rsid w:val="00D57FE5"/>
    <w:rsid w:val="00D63031"/>
    <w:rsid w:val="00D81A0E"/>
    <w:rsid w:val="00D85690"/>
    <w:rsid w:val="00D85827"/>
    <w:rsid w:val="00D92925"/>
    <w:rsid w:val="00DA5D00"/>
    <w:rsid w:val="00DB382C"/>
    <w:rsid w:val="00DB6446"/>
    <w:rsid w:val="00DB6FE9"/>
    <w:rsid w:val="00DC1E9A"/>
    <w:rsid w:val="00DC2D47"/>
    <w:rsid w:val="00DC3CA4"/>
    <w:rsid w:val="00DC4540"/>
    <w:rsid w:val="00DC7D90"/>
    <w:rsid w:val="00DD47AC"/>
    <w:rsid w:val="00DD5CC6"/>
    <w:rsid w:val="00DD6CCA"/>
    <w:rsid w:val="00DE129F"/>
    <w:rsid w:val="00DE5A4E"/>
    <w:rsid w:val="00DE7ED0"/>
    <w:rsid w:val="00DF218E"/>
    <w:rsid w:val="00DF25DA"/>
    <w:rsid w:val="00DF6700"/>
    <w:rsid w:val="00E03A69"/>
    <w:rsid w:val="00E1119C"/>
    <w:rsid w:val="00E118E4"/>
    <w:rsid w:val="00E13F7D"/>
    <w:rsid w:val="00E20D3F"/>
    <w:rsid w:val="00E21749"/>
    <w:rsid w:val="00E27BE9"/>
    <w:rsid w:val="00E301FF"/>
    <w:rsid w:val="00E305DD"/>
    <w:rsid w:val="00E34130"/>
    <w:rsid w:val="00E34646"/>
    <w:rsid w:val="00E36626"/>
    <w:rsid w:val="00E412A7"/>
    <w:rsid w:val="00E449C3"/>
    <w:rsid w:val="00E45151"/>
    <w:rsid w:val="00E54104"/>
    <w:rsid w:val="00E55A83"/>
    <w:rsid w:val="00E64BD7"/>
    <w:rsid w:val="00E65D69"/>
    <w:rsid w:val="00E70345"/>
    <w:rsid w:val="00E72A74"/>
    <w:rsid w:val="00E72C36"/>
    <w:rsid w:val="00E81B5D"/>
    <w:rsid w:val="00E86CC8"/>
    <w:rsid w:val="00E8762E"/>
    <w:rsid w:val="00E94408"/>
    <w:rsid w:val="00E947F2"/>
    <w:rsid w:val="00E965A5"/>
    <w:rsid w:val="00E97917"/>
    <w:rsid w:val="00EA17D0"/>
    <w:rsid w:val="00EA7E18"/>
    <w:rsid w:val="00EB7096"/>
    <w:rsid w:val="00ED4822"/>
    <w:rsid w:val="00EE37A9"/>
    <w:rsid w:val="00EE5862"/>
    <w:rsid w:val="00EE5C31"/>
    <w:rsid w:val="00EF2F13"/>
    <w:rsid w:val="00EF4B0F"/>
    <w:rsid w:val="00EF4FB6"/>
    <w:rsid w:val="00EF7764"/>
    <w:rsid w:val="00F02005"/>
    <w:rsid w:val="00F03A8C"/>
    <w:rsid w:val="00F060C8"/>
    <w:rsid w:val="00F06B2E"/>
    <w:rsid w:val="00F151D8"/>
    <w:rsid w:val="00F1737D"/>
    <w:rsid w:val="00F20D1F"/>
    <w:rsid w:val="00F40B9C"/>
    <w:rsid w:val="00F41A4C"/>
    <w:rsid w:val="00F531FA"/>
    <w:rsid w:val="00F53319"/>
    <w:rsid w:val="00F56596"/>
    <w:rsid w:val="00F5779D"/>
    <w:rsid w:val="00F70D15"/>
    <w:rsid w:val="00F7104B"/>
    <w:rsid w:val="00F712DC"/>
    <w:rsid w:val="00F736FE"/>
    <w:rsid w:val="00F829DF"/>
    <w:rsid w:val="00F83208"/>
    <w:rsid w:val="00F855A3"/>
    <w:rsid w:val="00F91539"/>
    <w:rsid w:val="00F94F6A"/>
    <w:rsid w:val="00FA311F"/>
    <w:rsid w:val="00FB11B4"/>
    <w:rsid w:val="00FB394B"/>
    <w:rsid w:val="00FC14CE"/>
    <w:rsid w:val="00FC3355"/>
    <w:rsid w:val="00FD08EC"/>
    <w:rsid w:val="00FD2BA3"/>
    <w:rsid w:val="00FE1B9D"/>
    <w:rsid w:val="00FF0665"/>
    <w:rsid w:val="00FF6653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561E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63561E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6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link w:val="2"/>
    <w:rsid w:val="006356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63561E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6356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F050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B070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070C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070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070C9"/>
    <w:rPr>
      <w:rFonts w:ascii="Times New Roman" w:eastAsia="Times New Roman" w:hAnsi="Times New Roman"/>
      <w:sz w:val="24"/>
      <w:szCs w:val="24"/>
    </w:rPr>
  </w:style>
  <w:style w:type="paragraph" w:customStyle="1" w:styleId="14pt">
    <w:name w:val="Обычный + 14 pt"/>
    <w:aliases w:val="полужирный"/>
    <w:basedOn w:val="a"/>
    <w:rsid w:val="00400230"/>
    <w:pPr>
      <w:ind w:left="4956" w:firstLine="708"/>
    </w:pPr>
    <w:rPr>
      <w:b/>
      <w:sz w:val="28"/>
      <w:szCs w:val="28"/>
    </w:rPr>
  </w:style>
  <w:style w:type="character" w:customStyle="1" w:styleId="a8">
    <w:name w:val="Гипертекстовая ссылка"/>
    <w:uiPriority w:val="99"/>
    <w:rsid w:val="00236A7E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236A7E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table" w:styleId="aa">
    <w:name w:val="Table Grid"/>
    <w:basedOn w:val="a1"/>
    <w:uiPriority w:val="59"/>
    <w:rsid w:val="007435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187FD1"/>
    <w:rPr>
      <w:b/>
      <w:bCs/>
      <w:color w:val="26282F"/>
    </w:rPr>
  </w:style>
  <w:style w:type="paragraph" w:styleId="ac">
    <w:name w:val="Body Text Indent"/>
    <w:basedOn w:val="a"/>
    <w:link w:val="ad"/>
    <w:rsid w:val="0060762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60762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e">
    <w:name w:val="Hyperlink"/>
    <w:uiPriority w:val="99"/>
    <w:semiHidden/>
    <w:unhideWhenUsed/>
    <w:rsid w:val="002A46A5"/>
    <w:rPr>
      <w:color w:val="333399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17F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17F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561E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63561E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6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link w:val="2"/>
    <w:rsid w:val="006356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63561E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6356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F050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B070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070C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070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070C9"/>
    <w:rPr>
      <w:rFonts w:ascii="Times New Roman" w:eastAsia="Times New Roman" w:hAnsi="Times New Roman"/>
      <w:sz w:val="24"/>
      <w:szCs w:val="24"/>
    </w:rPr>
  </w:style>
  <w:style w:type="paragraph" w:customStyle="1" w:styleId="14pt">
    <w:name w:val="Обычный + 14 pt"/>
    <w:aliases w:val="полужирный"/>
    <w:basedOn w:val="a"/>
    <w:rsid w:val="00400230"/>
    <w:pPr>
      <w:ind w:left="4956" w:firstLine="708"/>
    </w:pPr>
    <w:rPr>
      <w:b/>
      <w:sz w:val="28"/>
      <w:szCs w:val="28"/>
    </w:rPr>
  </w:style>
  <w:style w:type="character" w:customStyle="1" w:styleId="a8">
    <w:name w:val="Гипертекстовая ссылка"/>
    <w:uiPriority w:val="99"/>
    <w:rsid w:val="00236A7E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236A7E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table" w:styleId="aa">
    <w:name w:val="Table Grid"/>
    <w:basedOn w:val="a1"/>
    <w:uiPriority w:val="59"/>
    <w:rsid w:val="007435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187FD1"/>
    <w:rPr>
      <w:b/>
      <w:bCs/>
      <w:color w:val="26282F"/>
    </w:rPr>
  </w:style>
  <w:style w:type="paragraph" w:styleId="ac">
    <w:name w:val="Body Text Indent"/>
    <w:basedOn w:val="a"/>
    <w:link w:val="ad"/>
    <w:rsid w:val="0060762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60762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e">
    <w:name w:val="Hyperlink"/>
    <w:uiPriority w:val="99"/>
    <w:semiHidden/>
    <w:unhideWhenUsed/>
    <w:rsid w:val="002A46A5"/>
    <w:rPr>
      <w:color w:val="333399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17F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17F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8D86-90F0-47E2-90E6-DF45DDC3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6558</Words>
  <Characters>37383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43854</CharactersWithSpaces>
  <SharedDoc>false</SharedDoc>
  <HLinks>
    <vt:vector size="6" baseType="variant">
      <vt:variant>
        <vt:i4>1179683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Наталья П. Степанова</cp:lastModifiedBy>
  <cp:revision>2</cp:revision>
  <cp:lastPrinted>2019-12-27T03:09:00Z</cp:lastPrinted>
  <dcterms:created xsi:type="dcterms:W3CDTF">2019-12-30T02:47:00Z</dcterms:created>
  <dcterms:modified xsi:type="dcterms:W3CDTF">2019-12-30T02:47:00Z</dcterms:modified>
</cp:coreProperties>
</file>