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1F" w:rsidRPr="00904F1F" w:rsidRDefault="00904F1F" w:rsidP="00904F1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904F1F">
        <w:rPr>
          <w:rFonts w:ascii="inherit" w:eastAsia="Times New Roman" w:hAnsi="inherit" w:cs="Times New Roman"/>
          <w:b/>
          <w:bCs/>
          <w:caps/>
          <w:sz w:val="45"/>
          <w:szCs w:val="45"/>
          <w:bdr w:val="none" w:sz="0" w:space="0" w:color="auto" w:frame="1"/>
          <w:lang w:eastAsia="ru-RU"/>
        </w:rPr>
        <w:t>НУЖНО ЛИ ВКЛЮЧАТЬ РЕЗУЛЬТАТЫ ОЦЕНКИ ПРОФЕССИОНАЛЬНЫХ РИСКОВ В РАЗДЕЛ «УСЛОВИЯ ТРУДА» В ТРУДОВОМ ДОГОВОРЕ</w:t>
      </w:r>
    </w:p>
    <w:p w:rsidR="00DD17E1" w:rsidRDefault="00DD17E1" w:rsidP="00904F1F">
      <w:pPr>
        <w:shd w:val="clear" w:color="auto" w:fill="FFFFFF"/>
        <w:spacing w:before="750" w:after="300" w:line="240" w:lineRule="auto"/>
        <w:textAlignment w:val="baseline"/>
        <w:rPr>
          <w:rFonts w:ascii="inherit" w:eastAsia="Times New Roman" w:hAnsi="inherit" w:cs="Times New Roman"/>
          <w:color w:val="3A3A3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00AD69" wp14:editId="58D67119">
            <wp:extent cx="2028825" cy="1690688"/>
            <wp:effectExtent l="0" t="0" r="0" b="5080"/>
            <wp:docPr id="43" name="Рисунок 43" descr="https://www.gk-trud.ru/images/statii/nuzhno-li-vklyuchat-rezultatyi-oczenki-professionalnyix-riskov-v-razdel-usloviya-truda-v-trudovom-dogov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k-trud.ru/images/statii/nuzhno-li-vklyuchat-rezultatyi-oczenki-professionalnyix-riskov-v-razdel-usloviya-truda-v-trudovom-dogovo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9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1F" w:rsidRPr="00904F1F" w:rsidRDefault="00904F1F" w:rsidP="00904F1F">
      <w:pPr>
        <w:shd w:val="clear" w:color="auto" w:fill="FFFFFF"/>
        <w:spacing w:before="750" w:after="300" w:line="240" w:lineRule="auto"/>
        <w:textAlignment w:val="baseline"/>
        <w:rPr>
          <w:rFonts w:ascii="inherit" w:eastAsia="Times New Roman" w:hAnsi="inherit" w:cs="Times New Roman"/>
          <w:color w:val="3A3A3A"/>
          <w:sz w:val="24"/>
          <w:szCs w:val="24"/>
          <w:lang w:eastAsia="ru-RU"/>
        </w:rPr>
      </w:pPr>
      <w:r w:rsidRPr="00904F1F">
        <w:rPr>
          <w:rFonts w:ascii="inherit" w:eastAsia="Times New Roman" w:hAnsi="inherit" w:cs="Times New Roman"/>
          <w:color w:val="3A3A3A"/>
          <w:sz w:val="24"/>
          <w:szCs w:val="24"/>
          <w:lang w:eastAsia="ru-RU"/>
        </w:rPr>
        <w:t>Согласно требованиям статьи 57 Трудового кодекса Российской Федерации в трудовой договор обязательно включаются сведения об условиях труда на рабочем месте.</w:t>
      </w:r>
    </w:p>
    <w:p w:rsidR="00904F1F" w:rsidRPr="00904F1F" w:rsidRDefault="00904F1F" w:rsidP="00904F1F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Times New Roman"/>
          <w:color w:val="1B1E1F"/>
          <w:sz w:val="21"/>
          <w:szCs w:val="21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04F1F" w:rsidRPr="00904F1F" w:rsidTr="00904F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4F1F" w:rsidRPr="00904F1F" w:rsidRDefault="00904F1F" w:rsidP="00904F1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F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труда — это совокупность факторов производственной среды и трудового процесса, оказывающих влияние на работоспособность и здоровье работника. Данный раздел в трудовом договоре должен подробно проинформировать работника о том, имеются ли на его рабочем месте вредные или опасные факторы производственной среды.</w:t>
            </w:r>
          </w:p>
        </w:tc>
      </w:tr>
    </w:tbl>
    <w:p w:rsidR="00904F1F" w:rsidRPr="00904F1F" w:rsidRDefault="00904F1F" w:rsidP="00904F1F">
      <w:pPr>
        <w:shd w:val="clear" w:color="auto" w:fill="FFFFFF"/>
        <w:spacing w:before="300" w:line="240" w:lineRule="auto"/>
        <w:textAlignment w:val="baseline"/>
        <w:rPr>
          <w:rFonts w:ascii="inherit" w:eastAsia="Times New Roman" w:hAnsi="inherit" w:cs="Times New Roman"/>
          <w:color w:val="1B1E1F"/>
          <w:sz w:val="24"/>
          <w:szCs w:val="24"/>
          <w:lang w:eastAsia="ru-RU"/>
        </w:rPr>
      </w:pPr>
      <w:r w:rsidRPr="00904F1F">
        <w:rPr>
          <w:rFonts w:ascii="inherit" w:eastAsia="Times New Roman" w:hAnsi="inherit" w:cs="Times New Roman"/>
          <w:color w:val="1B1E1F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8305"/>
      </w:tblGrid>
      <w:tr w:rsidR="00904F1F" w:rsidRPr="00904F1F" w:rsidTr="00904F1F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F1F" w:rsidRPr="00904F1F" w:rsidRDefault="00904F1F" w:rsidP="00904F1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F1F"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DFBE75" wp14:editId="359A6BFA">
                  <wp:extent cx="381000" cy="381000"/>
                  <wp:effectExtent l="0" t="0" r="0" b="0"/>
                  <wp:docPr id="41" name="Рисунок 41" descr="https://www.gk-trud.ru/images/icons/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k-trud.ru/images/icons/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F1F" w:rsidRPr="00904F1F" w:rsidRDefault="00904F1F" w:rsidP="00904F1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F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Статья 209 ТК РФ определяет следующие понятия:</w:t>
            </w:r>
            <w:r w:rsidRPr="00904F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 w:rsidRPr="00904F1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Вредный производственный фактор</w:t>
            </w:r>
            <w:r w:rsidRPr="00904F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- фактор производственной среды или трудового процесса, воздействие которого может привести к профессиональному заболеванию работника.</w:t>
            </w:r>
            <w:r w:rsidRPr="00904F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 w:rsidRPr="00904F1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Опасный производственный фактор</w:t>
            </w:r>
            <w:r w:rsidRPr="00904F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- фактор производственной среды или трудового процесса, воздействие которого может привести к травме или смерти работника.</w:t>
            </w:r>
          </w:p>
        </w:tc>
      </w:tr>
    </w:tbl>
    <w:p w:rsidR="00904F1F" w:rsidRPr="00904F1F" w:rsidRDefault="00904F1F" w:rsidP="00904F1F">
      <w:pPr>
        <w:shd w:val="clear" w:color="auto" w:fill="FFFFFF"/>
        <w:spacing w:before="300" w:line="240" w:lineRule="auto"/>
        <w:textAlignment w:val="baseline"/>
        <w:rPr>
          <w:rFonts w:ascii="inherit" w:eastAsia="Times New Roman" w:hAnsi="inherit" w:cs="Times New Roman"/>
          <w:color w:val="1B1E1F"/>
          <w:sz w:val="24"/>
          <w:szCs w:val="24"/>
          <w:lang w:eastAsia="ru-RU"/>
        </w:rPr>
      </w:pPr>
      <w:r w:rsidRPr="00904F1F">
        <w:rPr>
          <w:rFonts w:ascii="inherit" w:eastAsia="Times New Roman" w:hAnsi="inherit" w:cs="Times New Roman"/>
          <w:color w:val="1B1E1F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04F1F" w:rsidRPr="00904F1F" w:rsidTr="00904F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4F1F" w:rsidRPr="00904F1F" w:rsidRDefault="00904F1F" w:rsidP="00904F1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F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ТК РФ строго не определено, с какой степенью детализации нужно описать условия труда и нужно ли указывать документ, на основании которого сделаны такие выводы. Условия труда на рабочем месте могут раскрыть две основные процедуры – специальная оценка условий труда (СОУТ) и оценка профессиональных рисков (</w:t>
            </w:r>
            <w:proofErr w:type="gramStart"/>
            <w:r w:rsidRPr="00904F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</w:t>
            </w:r>
            <w:proofErr w:type="gramEnd"/>
            <w:r w:rsidRPr="00904F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04F1F" w:rsidRPr="00904F1F" w:rsidTr="00904F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4F1F" w:rsidRPr="00904F1F" w:rsidRDefault="00904F1F" w:rsidP="00904F1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904F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Обязательность включения результатов оценки профессиональных рисков в трудовой договор прямо не закреплена в законодательстве, но понятие «условия труда на рабочем месте» подразумевает не только сведения о классе/подклассе, указанные в карте СОУТ, но и более подробное описание факторов трудового процесса, которые оказывают влияние на здоровье работника (ч. 2 ст. 209 ТК РФ) и могут причинять ему вред, а значит, являются</w:t>
            </w:r>
            <w:proofErr w:type="gramEnd"/>
            <w:r w:rsidRPr="00904F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04F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профессиональными рисками.</w:t>
            </w:r>
          </w:p>
        </w:tc>
      </w:tr>
    </w:tbl>
    <w:p w:rsidR="00904F1F" w:rsidRPr="00904F1F" w:rsidRDefault="00904F1F" w:rsidP="00904F1F">
      <w:pPr>
        <w:shd w:val="clear" w:color="auto" w:fill="FFFFFF"/>
        <w:spacing w:before="300" w:line="240" w:lineRule="auto"/>
        <w:textAlignment w:val="baseline"/>
        <w:rPr>
          <w:rFonts w:ascii="inherit" w:eastAsia="Times New Roman" w:hAnsi="inherit" w:cs="Times New Roman"/>
          <w:color w:val="1B1E1F"/>
          <w:sz w:val="24"/>
          <w:szCs w:val="24"/>
          <w:lang w:eastAsia="ru-RU"/>
        </w:rPr>
      </w:pPr>
      <w:r w:rsidRPr="00904F1F">
        <w:rPr>
          <w:rFonts w:ascii="inherit" w:eastAsia="Times New Roman" w:hAnsi="inherit" w:cs="Times New Roman"/>
          <w:color w:val="1B1E1F"/>
          <w:sz w:val="24"/>
          <w:szCs w:val="24"/>
          <w:lang w:eastAsia="ru-RU"/>
        </w:rPr>
        <w:lastRenderedPageBreak/>
        <w:pict>
          <v:rect id="_x0000_i1027" style="width:0;height:0" o:hralign="center" o:hrstd="t" o:hr="t" fillcolor="#a0a0a0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8305"/>
      </w:tblGrid>
      <w:tr w:rsidR="00904F1F" w:rsidRPr="00904F1F" w:rsidTr="00904F1F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F1F" w:rsidRPr="00904F1F" w:rsidRDefault="00904F1F" w:rsidP="00904F1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F1F"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DD63A8" wp14:editId="6944D256">
                  <wp:extent cx="381000" cy="381000"/>
                  <wp:effectExtent l="0" t="0" r="0" b="0"/>
                  <wp:docPr id="42" name="Рисунок 42" descr="https://www.gk-trud.ru/images/icons/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gk-trud.ru/images/icons/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F1F" w:rsidRPr="00904F1F" w:rsidRDefault="00904F1F" w:rsidP="00904F1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F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Приказ Минтруда РФ от 21 марта 2019 года N 77 раскрывает процедуру «оценки условий труда» как комплексное проведение специальной оценки условий труда и оценки профессиональных рисков.</w:t>
            </w:r>
          </w:p>
        </w:tc>
      </w:tr>
    </w:tbl>
    <w:p w:rsidR="00904F1F" w:rsidRPr="00904F1F" w:rsidRDefault="00904F1F" w:rsidP="00904F1F">
      <w:pPr>
        <w:shd w:val="clear" w:color="auto" w:fill="FFFFFF"/>
        <w:spacing w:before="300" w:line="240" w:lineRule="auto"/>
        <w:textAlignment w:val="baseline"/>
        <w:rPr>
          <w:rFonts w:ascii="inherit" w:eastAsia="Times New Roman" w:hAnsi="inherit" w:cs="Times New Roman"/>
          <w:color w:val="1B1E1F"/>
          <w:sz w:val="24"/>
          <w:szCs w:val="24"/>
          <w:lang w:eastAsia="ru-RU"/>
        </w:rPr>
      </w:pPr>
      <w:r w:rsidRPr="00904F1F">
        <w:rPr>
          <w:rFonts w:ascii="inherit" w:eastAsia="Times New Roman" w:hAnsi="inherit" w:cs="Times New Roman"/>
          <w:color w:val="1B1E1F"/>
          <w:sz w:val="24"/>
          <w:szCs w:val="24"/>
          <w:lang w:eastAsia="ru-RU"/>
        </w:rPr>
        <w:pict>
          <v:rect id="_x0000_i1028" style="width:0;height:0" o:hralign="center" o:hrstd="t" o:hr="t" fillcolor="#a0a0a0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04F1F" w:rsidRPr="00904F1F" w:rsidTr="00904F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4F1F" w:rsidRPr="00904F1F" w:rsidRDefault="00904F1F" w:rsidP="00904F1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F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Таким образом, считаем, что в рамках исполнения требований ст. 57 ТК РФ, в части указания условий труда, в трудовой договор </w:t>
            </w:r>
            <w:r w:rsidRPr="00904F1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необходимо включить сведения о классах (подклассах) условий труда, установленных по результатам СОУТ, а также уровне профессионального риска по результатам ОПР</w:t>
            </w:r>
            <w:r w:rsidRPr="00904F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94A1D" w:rsidRPr="00904F1F" w:rsidRDefault="00494A1D" w:rsidP="00904F1F"/>
    <w:sectPr w:rsidR="00494A1D" w:rsidRPr="00904F1F" w:rsidSect="003A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DDF"/>
    <w:multiLevelType w:val="multilevel"/>
    <w:tmpl w:val="5A3E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E1241"/>
    <w:multiLevelType w:val="multilevel"/>
    <w:tmpl w:val="187A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C03F4"/>
    <w:multiLevelType w:val="multilevel"/>
    <w:tmpl w:val="C6C0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51689"/>
    <w:multiLevelType w:val="multilevel"/>
    <w:tmpl w:val="9200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61573"/>
    <w:multiLevelType w:val="multilevel"/>
    <w:tmpl w:val="1CC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32DF0"/>
    <w:multiLevelType w:val="multilevel"/>
    <w:tmpl w:val="2C5E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74E35"/>
    <w:multiLevelType w:val="multilevel"/>
    <w:tmpl w:val="0272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079EC"/>
    <w:multiLevelType w:val="multilevel"/>
    <w:tmpl w:val="5234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35201"/>
    <w:multiLevelType w:val="multilevel"/>
    <w:tmpl w:val="7CA0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A1403"/>
    <w:multiLevelType w:val="multilevel"/>
    <w:tmpl w:val="C652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51EB7"/>
    <w:multiLevelType w:val="multilevel"/>
    <w:tmpl w:val="09EA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1F6EC3"/>
    <w:multiLevelType w:val="multilevel"/>
    <w:tmpl w:val="1F56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77D60"/>
    <w:multiLevelType w:val="multilevel"/>
    <w:tmpl w:val="4A3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D67CF"/>
    <w:multiLevelType w:val="multilevel"/>
    <w:tmpl w:val="8C2C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4521A"/>
    <w:multiLevelType w:val="multilevel"/>
    <w:tmpl w:val="CE4E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6217AC"/>
    <w:multiLevelType w:val="multilevel"/>
    <w:tmpl w:val="ADE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8267CF"/>
    <w:multiLevelType w:val="multilevel"/>
    <w:tmpl w:val="9D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C53F5F"/>
    <w:multiLevelType w:val="multilevel"/>
    <w:tmpl w:val="E6D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41438F"/>
    <w:multiLevelType w:val="multilevel"/>
    <w:tmpl w:val="2300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2A46E2"/>
    <w:multiLevelType w:val="multilevel"/>
    <w:tmpl w:val="3600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834340"/>
    <w:multiLevelType w:val="multilevel"/>
    <w:tmpl w:val="7A88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263841"/>
    <w:multiLevelType w:val="multilevel"/>
    <w:tmpl w:val="9554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0220F"/>
    <w:multiLevelType w:val="multilevel"/>
    <w:tmpl w:val="964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D32BEB"/>
    <w:multiLevelType w:val="multilevel"/>
    <w:tmpl w:val="289E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82521D"/>
    <w:multiLevelType w:val="multilevel"/>
    <w:tmpl w:val="E64E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9"/>
  </w:num>
  <w:num w:numId="10">
    <w:abstractNumId w:val="10"/>
  </w:num>
  <w:num w:numId="11">
    <w:abstractNumId w:val="17"/>
  </w:num>
  <w:num w:numId="12">
    <w:abstractNumId w:val="13"/>
  </w:num>
  <w:num w:numId="13">
    <w:abstractNumId w:val="11"/>
  </w:num>
  <w:num w:numId="14">
    <w:abstractNumId w:val="15"/>
  </w:num>
  <w:num w:numId="15">
    <w:abstractNumId w:val="22"/>
  </w:num>
  <w:num w:numId="16">
    <w:abstractNumId w:val="18"/>
  </w:num>
  <w:num w:numId="17">
    <w:abstractNumId w:val="12"/>
  </w:num>
  <w:num w:numId="18">
    <w:abstractNumId w:val="2"/>
  </w:num>
  <w:num w:numId="19">
    <w:abstractNumId w:val="6"/>
  </w:num>
  <w:num w:numId="20">
    <w:abstractNumId w:val="7"/>
  </w:num>
  <w:num w:numId="21">
    <w:abstractNumId w:val="20"/>
  </w:num>
  <w:num w:numId="22">
    <w:abstractNumId w:val="21"/>
  </w:num>
  <w:num w:numId="23">
    <w:abstractNumId w:val="1"/>
  </w:num>
  <w:num w:numId="2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50"/>
    <w:rsid w:val="00002977"/>
    <w:rsid w:val="00160550"/>
    <w:rsid w:val="00286463"/>
    <w:rsid w:val="003A6118"/>
    <w:rsid w:val="00494A1D"/>
    <w:rsid w:val="005F0A7B"/>
    <w:rsid w:val="006175F6"/>
    <w:rsid w:val="006D5F8A"/>
    <w:rsid w:val="00721CBA"/>
    <w:rsid w:val="007550BE"/>
    <w:rsid w:val="00904F1F"/>
    <w:rsid w:val="009347B2"/>
    <w:rsid w:val="009F2BBE"/>
    <w:rsid w:val="00D97CD7"/>
    <w:rsid w:val="00DD17E1"/>
    <w:rsid w:val="00E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6883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6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070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263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298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7106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593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41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64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136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3734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1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7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11600041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711713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332486899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</w:divsChild>
        </w:div>
      </w:divsChild>
    </w:div>
    <w:div w:id="444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9204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3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452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128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4540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783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0572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62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38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2327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301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26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307440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057318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2000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2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36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214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76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5531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848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50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86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494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8649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48512739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5403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59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2098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72096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174393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4268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4775731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867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181537161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20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10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6260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72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455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094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528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3339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66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432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8391531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588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6351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487064737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9521">
                  <w:blockQuote w:val="1"/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3244">
                  <w:marLeft w:val="57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6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219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0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66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47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752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135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9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3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945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44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33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87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148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2488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39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722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03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41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6076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722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432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9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8448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3211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2315">
                  <w:blockQuote w:val="1"/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196">
                  <w:marLeft w:val="57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148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76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433959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873422970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10627314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9897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9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1981686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20422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</w:divsChild>
        </w:div>
      </w:divsChild>
    </w:div>
    <w:div w:id="1983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226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4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66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99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621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Vaio_71812V</dc:creator>
  <cp:lastModifiedBy>Vaio_71812V</cp:lastModifiedBy>
  <cp:revision>2</cp:revision>
  <dcterms:created xsi:type="dcterms:W3CDTF">2024-09-27T06:47:00Z</dcterms:created>
  <dcterms:modified xsi:type="dcterms:W3CDTF">2024-09-27T06:47:00Z</dcterms:modified>
</cp:coreProperties>
</file>