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D7" w:rsidRDefault="00D97CD7" w:rsidP="00D97CD7">
      <w:pPr>
        <w:shd w:val="clear" w:color="auto" w:fill="FFFFFF"/>
        <w:spacing w:after="0" w:line="49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bookmarkStart w:id="0" w:name="_GoBack"/>
      <w:r w:rsidRPr="00D97CD7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Новая методика проведения СОУТ </w:t>
      </w:r>
      <w:bookmarkEnd w:id="0"/>
      <w:r w:rsidRPr="00D97CD7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по приказу Минтруда №817н: как проводить с 1 сентября 2024 года</w:t>
      </w:r>
    </w:p>
    <w:p w:rsidR="009F2BBE" w:rsidRPr="00D97CD7" w:rsidRDefault="009F2BBE" w:rsidP="00D97CD7">
      <w:pPr>
        <w:shd w:val="clear" w:color="auto" w:fill="FFFFFF"/>
        <w:spacing w:after="0" w:line="495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6EEC902" wp14:editId="7EB52825">
            <wp:extent cx="2647950" cy="1766162"/>
            <wp:effectExtent l="0" t="0" r="0" b="5715"/>
            <wp:docPr id="27" name="Рисунок 27" descr="https://coko1.ru/wp-content/uploads/2021/08/Obuchenie-po-pozharnoi-bezopasnosti-1024x6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ko1.ru/wp-content/uploads/2021/08/Obuchenie-po-pozharnoi-bezopasnosti-1024x68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836" cy="176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D7" w:rsidRPr="00D97CD7" w:rsidRDefault="00D97CD7" w:rsidP="009F2BBE">
      <w:pPr>
        <w:shd w:val="clear" w:color="auto" w:fill="FFFFFF"/>
        <w:spacing w:after="0" w:line="240" w:lineRule="auto"/>
        <w:rPr>
          <w:rFonts w:ascii="Formular" w:eastAsia="Times New Roman" w:hAnsi="Formular" w:cs="Times New Roman"/>
          <w:color w:val="000000"/>
          <w:sz w:val="32"/>
          <w:szCs w:val="32"/>
          <w:lang w:eastAsia="ru-RU"/>
        </w:rPr>
      </w:pPr>
      <w:r w:rsidRPr="00D97CD7">
        <w:rPr>
          <w:rFonts w:ascii="Formular" w:eastAsia="Times New Roman" w:hAnsi="Formular" w:cs="Times New Roman"/>
          <w:i/>
          <w:iCs/>
          <w:color w:val="000000"/>
          <w:sz w:val="32"/>
          <w:szCs w:val="32"/>
          <w:lang w:eastAsia="ru-RU"/>
        </w:rPr>
        <w:t>С 1 сентября 2024 года вступит в силу новая Методика проведения специальной оценки условий труда. Это существенное изменение в порядке проведения данной процедуры, одной из главных, базовых в системе управления охраной труда. Предыдущая методика, по которой мы проводим СОУТ в настоящее время, вступила в силу десять лет назад — с 1 января 2024 года. Из статьи вы узнаете о четырех главных изменениях, которые придется учитывать в ближайшее время.</w:t>
      </w:r>
    </w:p>
    <w:p w:rsidR="00D97CD7" w:rsidRPr="00D97CD7" w:rsidRDefault="00D97CD7" w:rsidP="00D97CD7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44"/>
          <w:szCs w:val="44"/>
          <w:lang w:eastAsia="ru-RU"/>
        </w:rPr>
        <w:t xml:space="preserve">Как 1 сентября 2024 года изменится проведение </w:t>
      </w:r>
      <w:proofErr w:type="spellStart"/>
      <w:r w:rsidRPr="00D97CD7">
        <w:rPr>
          <w:rFonts w:ascii="Formular" w:eastAsia="Times New Roman" w:hAnsi="Formular" w:cs="Times New Roman"/>
          <w:color w:val="000000"/>
          <w:sz w:val="44"/>
          <w:szCs w:val="44"/>
          <w:lang w:eastAsia="ru-RU"/>
        </w:rPr>
        <w:t>спецоценки</w:t>
      </w:r>
      <w:proofErr w:type="spellEnd"/>
      <w:r w:rsidRPr="00D97CD7">
        <w:rPr>
          <w:rFonts w:ascii="Formular" w:eastAsia="Times New Roman" w:hAnsi="Formular" w:cs="Times New Roman"/>
          <w:color w:val="000000"/>
          <w:sz w:val="44"/>
          <w:szCs w:val="44"/>
          <w:lang w:eastAsia="ru-RU"/>
        </w:rPr>
        <w:t xml:space="preserve"> с учетом новой методики</w:t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Поводом для изменения процедуры </w:t>
      </w:r>
      <w:proofErr w:type="spellStart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стало поручение, данное Минтруду России заместителем председателя Правительства Российской Федерации Татьяной Голиковой от 20 декабря 2022 г. № ТГ-П45-21941, которое учитывает глобальную корректировку нормативно-правового регулирования охраны труда и санитарно-эпидемиологическом законодательстве.</w:t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proofErr w:type="gramStart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Учитывая, что </w:t>
      </w:r>
      <w:hyperlink r:id="rId7" w:history="1">
        <w:r w:rsidRPr="00D97CD7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приказ Минтруда России от 24.01.2014 г. № 33н</w:t>
        </w:r>
      </w:hyperlink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был 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включен в «белый список» НПА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(пункт 933 в Перечне, утв. </w:t>
      </w:r>
      <w:hyperlink r:id="rId8" w:history="1">
        <w:r w:rsidRPr="00D97CD7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 xml:space="preserve">постановлением Правительства </w:t>
        </w:r>
        <w:r w:rsidRPr="00D97CD7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lastRenderedPageBreak/>
          <w:t>РФ от 31.12.2020 г. № 2467</w:t>
        </w:r>
      </w:hyperlink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в которые нельзя вносить поправки</w:t>
      </w:r>
      <w:proofErr w:type="gramEnd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перед Минтрудом встала задача по разработке нового приказа, учитывающего все произошедшие изменения в НПА.</w:t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b/>
          <w:bCs/>
          <w:color w:val="FF0000"/>
          <w:sz w:val="24"/>
          <w:szCs w:val="24"/>
          <w:lang w:eastAsia="ru-RU"/>
        </w:rPr>
        <w:t>Обратите внимание!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</w:t>
      </w:r>
      <w:hyperlink r:id="rId9" w:history="1">
        <w:r w:rsidRPr="00D97CD7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Приказ Минтруда России от 21.11.2023 № 817н</w:t>
        </w:r>
      </w:hyperlink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вступает в силу с 1 сентября 2024 года. Приказ уже зарегистрирован в Минюсте России 30.11.2023 № 76179 и 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будет действовать до 2030 года.</w:t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Цель приказа № 817н — совершенствование процедуры проведения специальной оценки условий труда, повышение качества и достоверности ее результатов для более эффективной защиты работников, занятых во вредных условиях труда.</w:t>
      </w:r>
    </w:p>
    <w:p w:rsidR="00D97CD7" w:rsidRPr="00D97CD7" w:rsidRDefault="00D97CD7" w:rsidP="00D97CD7">
      <w:pPr>
        <w:spacing w:after="36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Важно!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С 1 сентября 2024 года  утратит силу действующий в настоящий момент Приказ Минтруда от 24.01.2014 № 33н. Новым </w:t>
      </w:r>
      <w:hyperlink r:id="rId10" w:history="1">
        <w:r w:rsidRPr="00D97CD7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Приказом Минтруда России от 21.11.2023 № 817н</w:t>
        </w:r>
      </w:hyperlink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</w:t>
      </w:r>
      <w:proofErr w:type="gramStart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утверждены</w:t>
      </w:r>
      <w:proofErr w:type="gramEnd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:</w:t>
      </w:r>
    </w:p>
    <w:p w:rsidR="00D97CD7" w:rsidRPr="00D97CD7" w:rsidRDefault="00D97CD7" w:rsidP="00D97CD7">
      <w:pPr>
        <w:numPr>
          <w:ilvl w:val="0"/>
          <w:numId w:val="22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Приложение № 1. Методика проведения СОУТ</w:t>
      </w:r>
    </w:p>
    <w:p w:rsidR="00D97CD7" w:rsidRPr="00D97CD7" w:rsidRDefault="00D97CD7" w:rsidP="00D97CD7">
      <w:pPr>
        <w:numPr>
          <w:ilvl w:val="0"/>
          <w:numId w:val="22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Приложение № 2. Классификатор вредных и (или) опасных производственных факторов (ВОПФ)</w:t>
      </w:r>
    </w:p>
    <w:p w:rsidR="00D97CD7" w:rsidRPr="00D97CD7" w:rsidRDefault="00D97CD7" w:rsidP="00D97CD7">
      <w:pPr>
        <w:numPr>
          <w:ilvl w:val="0"/>
          <w:numId w:val="22"/>
        </w:numPr>
        <w:shd w:val="clear" w:color="auto" w:fill="FFFFFF"/>
        <w:spacing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Приложение № 3. Форма отчета о проведении СОУТ</w:t>
      </w:r>
    </w:p>
    <w:p w:rsidR="00D97CD7" w:rsidRPr="00D97CD7" w:rsidRDefault="00D97CD7" w:rsidP="00D97CD7">
      <w:pPr>
        <w:numPr>
          <w:ilvl w:val="0"/>
          <w:numId w:val="22"/>
        </w:numPr>
        <w:shd w:val="clear" w:color="auto" w:fill="FFFFFF"/>
        <w:spacing w:before="225" w:after="0" w:line="405" w:lineRule="atLeast"/>
        <w:ind w:left="0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Приложение № 4.Инструкция по заполнению отчета о проведении СОУТ.</w:t>
      </w:r>
    </w:p>
    <w:p w:rsidR="00D97CD7" w:rsidRPr="00D97CD7" w:rsidRDefault="00D97CD7" w:rsidP="00D97CD7">
      <w:pPr>
        <w:spacing w:after="360" w:line="40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7CD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align="center" o:hrstd="t" o:hrnoshade="t" o:hr="t" fillcolor="black" stroked="f"/>
        </w:pict>
      </w:r>
    </w:p>
    <w:p w:rsidR="00D97CD7" w:rsidRPr="00D97CD7" w:rsidRDefault="00D97CD7" w:rsidP="00D97CD7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44"/>
          <w:szCs w:val="44"/>
          <w:lang w:eastAsia="ru-RU"/>
        </w:rPr>
        <w:t>Изменение 1. Новая методика проведения СОУТ</w:t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Изменения в Методике проведения СОУТ начинаются в п.4 </w:t>
      </w:r>
      <w:hyperlink r:id="rId11" w:history="1">
        <w:r w:rsidRPr="00D97CD7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Приказа Минтруда России от 21.11.2023 № 817н</w:t>
        </w:r>
      </w:hyperlink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 </w:t>
      </w:r>
    </w:p>
    <w:p w:rsidR="009F2BBE" w:rsidRDefault="00D97CD7" w:rsidP="009F2BBE">
      <w:pPr>
        <w:shd w:val="clear" w:color="auto" w:fill="FFFFFF"/>
        <w:spacing w:after="0" w:line="405" w:lineRule="atLeast"/>
        <w:rPr>
          <w:noProof/>
          <w:lang w:eastAsia="ru-RU"/>
        </w:rPr>
      </w:pPr>
      <w:r w:rsidRPr="00D97CD7">
        <w:rPr>
          <w:rFonts w:ascii="MS Gothic" w:eastAsia="MS Gothic" w:hAnsi="MS Gothic" w:cs="MS Gothic" w:hint="eastAsia"/>
          <w:b/>
          <w:bCs/>
          <w:color w:val="FF0000"/>
          <w:sz w:val="24"/>
          <w:szCs w:val="24"/>
          <w:lang w:eastAsia="ru-RU"/>
        </w:rPr>
        <w:t>➞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В разделе I «Общие положения» Методики дается отсылка на особенности проведения СОУТ в отношении отдельных видов деятельности (</w:t>
      </w:r>
      <w:hyperlink r:id="rId12" w:history="1">
        <w:r w:rsidRPr="00D97CD7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постановление Правительства Российской Федерации от 14.10.2022 г. № 1830</w:t>
        </w:r>
      </w:hyperlink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).</w:t>
      </w:r>
      <w:r w:rsidR="009F2BBE" w:rsidRPr="009F2BBE">
        <w:rPr>
          <w:noProof/>
          <w:lang w:eastAsia="ru-RU"/>
        </w:rPr>
        <w:t xml:space="preserve"> </w:t>
      </w:r>
    </w:p>
    <w:p w:rsidR="00D97CD7" w:rsidRPr="00D97CD7" w:rsidRDefault="009F2BBE" w:rsidP="009F2BBE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AAA4C72" wp14:editId="23703442">
            <wp:extent cx="7515225" cy="3086100"/>
            <wp:effectExtent l="0" t="0" r="9525" b="0"/>
            <wp:docPr id="28" name="Рисунок 28" descr="https://coko1.ru/wp-content/uploads/2024/02/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ko1.ru/wp-content/uploads/2024/02/7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proofErr w:type="gramStart"/>
      <w:r w:rsidRPr="00D97CD7">
        <w:rPr>
          <w:rFonts w:ascii="MS Gothic" w:eastAsia="MS Gothic" w:hAnsi="MS Gothic" w:cs="MS Gothic" w:hint="eastAsia"/>
          <w:b/>
          <w:bCs/>
          <w:color w:val="FF0000"/>
          <w:sz w:val="24"/>
          <w:szCs w:val="24"/>
          <w:lang w:eastAsia="ru-RU"/>
        </w:rPr>
        <w:t>➞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В разделе II Методики «Идентификация потенциально вредных и (или) опасных производственных факторов» 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исключен абзац из п.4 Методики № 33н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«Выявление на рабочем месте факторов производственной среды и трудового процесса, источников вредных и (или) опасных факторов может также проводиться путем обследования рабочего места путем осмотра и ознакомления с работами, фактически выполняемыми работником в режиме штатной работы, а также путем опроса работника</w:t>
      </w:r>
      <w:proofErr w:type="gramEnd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и (или) его непосредственных руководителей». 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Но это не означает, что теперь при проведении СОУТ эксперту не нужно беседовать с работниками.</w:t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Так, в пункте 14 новой Методики указано, что эксперту следует изучить предложения работников по осуществлению на их рабочих местах идентификации потенциально вредных и (или) опасных производственных факторов, если такие предложения поступили.</w:t>
      </w:r>
    </w:p>
    <w:p w:rsidR="00D97CD7" w:rsidRPr="00D97CD7" w:rsidRDefault="009F2BBE" w:rsidP="00D97CD7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E18B9A4" wp14:editId="755987F1">
            <wp:extent cx="7667625" cy="4105275"/>
            <wp:effectExtent l="0" t="0" r="9525" b="9525"/>
            <wp:docPr id="29" name="Рисунок 29" descr="https://coko1.ru/wp-content/uploads/2024/02/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ko1.ru/wp-content/uploads/2024/02/77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MS Gothic" w:eastAsia="MS Gothic" w:hAnsi="MS Gothic" w:cs="MS Gothic" w:hint="eastAsia"/>
          <w:b/>
          <w:bCs/>
          <w:color w:val="FF0000"/>
          <w:sz w:val="24"/>
          <w:szCs w:val="24"/>
          <w:lang w:eastAsia="ru-RU"/>
        </w:rPr>
        <w:t>➞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В п.7 новой Методики указано, что 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в качестве источников информации могут служить результаты, полученные при осуществлении проверок органов санитарно-эпидемиологического надзора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например, акт проверки, предписание, акт о случае профессионального заболевания. И прописано, что указанные в настоящем пункте документация и материалы 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предоставляются работодателем при их наличии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D97CD7" w:rsidRPr="00D97CD7" w:rsidRDefault="009F2BBE" w:rsidP="00D97CD7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416263" wp14:editId="39F34B43">
            <wp:extent cx="5962650" cy="6005362"/>
            <wp:effectExtent l="0" t="0" r="0" b="0"/>
            <wp:docPr id="30" name="Рисунок 30" descr="https://coko1.ru/wp-content/uploads/2024/02/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oko1.ru/wp-content/uploads/2024/02/3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00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MS Gothic" w:eastAsia="MS Gothic" w:hAnsi="MS Gothic" w:cs="MS Gothic" w:hint="eastAsia"/>
          <w:b/>
          <w:bCs/>
          <w:color w:val="FF0000"/>
          <w:sz w:val="24"/>
          <w:szCs w:val="24"/>
          <w:lang w:eastAsia="ru-RU"/>
        </w:rPr>
        <w:lastRenderedPageBreak/>
        <w:t>➞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В новой Методике 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указали действующие НПА, в том числе санитарные правила, убрали таблицы с гигиеническими нормативами и указания по их применению, выведя их в основной текст Методики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Обратите внимание, раньше указания по проведению замеров были перечислены под соответствующими таблицами с гигиеническими нормативами. Теперь, поскольку в Методике даются отсылки на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MS Gothic" w:eastAsia="MS Gothic" w:hAnsi="MS Gothic" w:cs="MS Gothic" w:hint="eastAsia"/>
          <w:b/>
          <w:bCs/>
          <w:color w:val="FF0000"/>
          <w:sz w:val="24"/>
          <w:szCs w:val="24"/>
          <w:lang w:eastAsia="ru-RU"/>
        </w:rPr>
        <w:t>➞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Отнесение условий труда к классу (подклассу) условий труда при воздействии биологического фактора также претерпело изменения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В частности, работы с микроорганизмами-продуцентами, живыми клетками и спорами, содержащимися в бактериальных препаратах необходимо устанавливать по вновь введенным </w:t>
      </w:r>
      <w:hyperlink r:id="rId16" w:history="1">
        <w:r w:rsidRPr="00D97CD7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СанПиН 1.2.3685-21</w:t>
        </w:r>
      </w:hyperlink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. А группы патогенности микроорганизмов следует определять в соответствии с приложением № 1 </w:t>
      </w:r>
      <w:proofErr w:type="gramStart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</w:t>
      </w:r>
      <w:proofErr w:type="gramEnd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новым </w:t>
      </w:r>
      <w:hyperlink r:id="rId17" w:history="1">
        <w:r w:rsidRPr="00D97CD7">
          <w:rPr>
            <w:rFonts w:ascii="Formular" w:eastAsia="Times New Roman" w:hAnsi="Formular" w:cs="Times New Roman"/>
            <w:b/>
            <w:bCs/>
            <w:color w:val="1990FE"/>
            <w:sz w:val="24"/>
            <w:szCs w:val="24"/>
            <w:u w:val="single"/>
            <w:lang w:eastAsia="ru-RU"/>
          </w:rPr>
          <w:t>СанПиН 3.3686-21 «Профилактика инфекционных заболеваний»</w:t>
        </w:r>
      </w:hyperlink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D97CD7" w:rsidRPr="00D97CD7" w:rsidRDefault="00D97CD7" w:rsidP="00D97CD7">
      <w:pPr>
        <w:shd w:val="clear" w:color="auto" w:fill="FFFFFF"/>
        <w:spacing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Важно! 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</w:t>
      </w:r>
      <w:proofErr w:type="gramEnd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чтобы установить факт работы с патогенными микроорганизмами, эксперту СОУТ нужно предоставить сведения из данных медицинской статистической отчетности. 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Сроки давности сведений из указанных документов не должны превышать периода пяти лет до даты начала проведения СОУТ.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Больше не получится присвоить вредность по биологическому фактору просто по факту работы в медучреждении.</w:t>
      </w:r>
    </w:p>
    <w:p w:rsidR="00D97CD7" w:rsidRPr="00D97CD7" w:rsidRDefault="00D97CD7" w:rsidP="00D97CD7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44"/>
          <w:szCs w:val="44"/>
          <w:lang w:eastAsia="ru-RU"/>
        </w:rPr>
        <w:t>Изменение 2. Утвержден новый Классификатор вредных и (или) опасных производственных факторов (ВОПФ)</w:t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Новый приказ Минтруда не отменяет какие-либо обязанности, запреты и ограничения, он 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подтверждает уже имеющиеся требования 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к процедурам и порядку проведения специальной оценки условий труда, 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 xml:space="preserve">при этом уточняет уже имеющиеся требования к процедурам и порядку проведения </w:t>
      </w:r>
      <w:proofErr w:type="spellStart"/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спецоценки</w:t>
      </w:r>
      <w:proofErr w:type="spellEnd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. Вот и классификатор ВОПФ не имеет в себе новых наименований факторов. Целью изменения законодательства по охране труда являлось его соотнесение с вступившими в силу нормативными правовыми актами как законодательства по охране труда, так и НПА </w:t>
      </w:r>
      <w:proofErr w:type="spellStart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</w:t>
      </w:r>
    </w:p>
    <w:p w:rsidR="00D97CD7" w:rsidRPr="00D97CD7" w:rsidRDefault="00D97CD7" w:rsidP="00D97CD7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44"/>
          <w:szCs w:val="44"/>
          <w:lang w:eastAsia="ru-RU"/>
        </w:rPr>
        <w:t>Изменение 3. Утверждена новая форма отчета о проведении СОУТ</w:t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В разделе III карты СОУТ больше не нужно указывать ОКАТО. Вместо него следует указывать код территории по ОКТМО. С 1 января 2014 года применяются новые коды ОКТМО (Общероссийского классификатора территорий муниципальных образований), заменившие собой коды ОКАТО (Общероссийского классификатора объектов административно-территориального деления).</w:t>
      </w:r>
    </w:p>
    <w:p w:rsidR="00D97CD7" w:rsidRPr="00D97CD7" w:rsidRDefault="009F2BBE" w:rsidP="00D97CD7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7538EA" wp14:editId="2B5CF50E">
            <wp:extent cx="6657975" cy="3657600"/>
            <wp:effectExtent l="0" t="0" r="9525" b="0"/>
            <wp:docPr id="31" name="Рисунок 31" descr="https://coko1.ru/wp-content/uploads/2024/02/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oko1.ru/wp-content/uploads/2024/02/44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lastRenderedPageBreak/>
        <w:t>Кроме того, подписывать карту СОУТ необходимо не с применением инициалов, а полностью расписывая фамилию, имя и отчество, если оно есть. </w:t>
      </w:r>
      <w:r w:rsidR="009F2BBE">
        <w:rPr>
          <w:noProof/>
          <w:lang w:eastAsia="ru-RU"/>
        </w:rPr>
        <w:drawing>
          <wp:inline distT="0" distB="0" distL="0" distR="0" wp14:anchorId="12382FB3" wp14:editId="1475271F">
            <wp:extent cx="6486525" cy="3067050"/>
            <wp:effectExtent l="0" t="0" r="9525" b="0"/>
            <wp:docPr id="32" name="Рисунок 32" descr="https://coko1.ru/wp-content/uploads/2024/02/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ko1.ru/wp-content/uploads/2024/02/55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5F6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</w:t>
      </w:r>
    </w:p>
    <w:p w:rsidR="00D97CD7" w:rsidRPr="00D97CD7" w:rsidRDefault="00D97CD7" w:rsidP="00D97CD7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Обратите внимание!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 Отчества могут не указывать те лица, которые приняли гражданство Российской Федерации. Например, американский киноактер и режиссер Стивен</w:t>
      </w:r>
      <w:proofErr w:type="gramStart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 xml:space="preserve">игал принял российское гражданство, но в его карте СОУТ не нужно указывать, что его отчество </w:t>
      </w:r>
      <w:proofErr w:type="spellStart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Самуэльевич</w:t>
      </w:r>
      <w:proofErr w:type="spellEnd"/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. Других существенных изменений в карте СОУТ и в отчете нет.</w:t>
      </w:r>
    </w:p>
    <w:p w:rsidR="00D97CD7" w:rsidRPr="00D97CD7" w:rsidRDefault="00D97CD7" w:rsidP="00D97CD7">
      <w:pPr>
        <w:shd w:val="clear" w:color="auto" w:fill="FFFFFF"/>
        <w:spacing w:after="0" w:line="495" w:lineRule="atLeast"/>
        <w:outlineLvl w:val="1"/>
        <w:rPr>
          <w:rFonts w:ascii="Formular" w:eastAsia="Times New Roman" w:hAnsi="Formular" w:cs="Times New Roman"/>
          <w:b/>
          <w:bCs/>
          <w:color w:val="000000"/>
          <w:sz w:val="44"/>
          <w:szCs w:val="4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44"/>
          <w:szCs w:val="44"/>
          <w:lang w:eastAsia="ru-RU"/>
        </w:rPr>
        <w:t>Изменение 4. Обновлена инструкция по заполнению отчета</w:t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Из пункта 8 инструкции следует, что в строке 021 Карты указывается информация о СНИЛС работников, занятых на данном рабочем месте за месяц, предшествовавший заполнению Карты.</w:t>
      </w:r>
    </w:p>
    <w:p w:rsidR="00D97CD7" w:rsidRPr="00D97CD7" w:rsidRDefault="00721CBA" w:rsidP="00D97CD7">
      <w:pPr>
        <w:shd w:val="clear" w:color="auto" w:fill="FFFFFF"/>
        <w:spacing w:after="36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1860E51" wp14:editId="5CCA1064">
            <wp:extent cx="6610350" cy="1485900"/>
            <wp:effectExtent l="0" t="0" r="0" b="0"/>
            <wp:docPr id="33" name="Рисунок 33" descr="https://coko1.ru/wp-content/uploads/2024/02/6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oko1.ru/wp-content/uploads/2024/02/66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D7" w:rsidRPr="00D97CD7" w:rsidRDefault="00D97CD7" w:rsidP="00D97CD7">
      <w:pPr>
        <w:shd w:val="clear" w:color="auto" w:fill="FFFFFF"/>
        <w:spacing w:after="0" w:line="405" w:lineRule="atLeast"/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</w:pP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Это ставит точку в многолетнем споре специалистов по охране труда, одни из которых заставляют вновь принятых работников расписываться в карте СОУТ. Это все прекрасно, но 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в карте СОУТ расписываются в ознакомлении те работники, чьи СНИЛС перечислены в карте. 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При этом законодатель в приказе Минтруда № 817н уточнил, что это требование относится только к работникам, занятым на данном рабочем месте, предшествовавшим заполнению карты.</w:t>
      </w:r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 xml:space="preserve"> Новые сотрудники должны быть ознакомлены с результатами СОУТ в форме, указанной </w:t>
      </w:r>
      <w:proofErr w:type="gramStart"/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D97CD7">
        <w:rPr>
          <w:rFonts w:ascii="Formular" w:eastAsia="Times New Roman" w:hAnsi="Formular" w:cs="Times New Roman"/>
          <w:b/>
          <w:bCs/>
          <w:color w:val="000000"/>
          <w:sz w:val="24"/>
          <w:szCs w:val="24"/>
          <w:lang w:eastAsia="ru-RU"/>
        </w:rPr>
        <w:t xml:space="preserve"> Положении о СУОТ</w:t>
      </w:r>
      <w:r w:rsidRPr="00D97CD7">
        <w:rPr>
          <w:rFonts w:ascii="Formular" w:eastAsia="Times New Roman" w:hAnsi="Formular" w:cs="Times New Roman"/>
          <w:color w:val="000000"/>
          <w:sz w:val="24"/>
          <w:szCs w:val="24"/>
          <w:lang w:eastAsia="ru-RU"/>
        </w:rPr>
        <w:t>, и обязательно — в трудовом договоре (статья 57 ТК РФ). Как правило, программа вводного инструктажа включает в себя данные сведения.</w:t>
      </w:r>
    </w:p>
    <w:p w:rsidR="00494A1D" w:rsidRPr="00D97CD7" w:rsidRDefault="00494A1D" w:rsidP="00D97CD7"/>
    <w:sectPr w:rsidR="00494A1D" w:rsidRPr="00D97CD7" w:rsidSect="001605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rmular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1DDF"/>
    <w:multiLevelType w:val="multilevel"/>
    <w:tmpl w:val="5A3E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0C03F4"/>
    <w:multiLevelType w:val="multilevel"/>
    <w:tmpl w:val="C6C0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51689"/>
    <w:multiLevelType w:val="multilevel"/>
    <w:tmpl w:val="9200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61573"/>
    <w:multiLevelType w:val="multilevel"/>
    <w:tmpl w:val="1CC8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A32DF0"/>
    <w:multiLevelType w:val="multilevel"/>
    <w:tmpl w:val="2C5E6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74E35"/>
    <w:multiLevelType w:val="multilevel"/>
    <w:tmpl w:val="0272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079EC"/>
    <w:multiLevelType w:val="multilevel"/>
    <w:tmpl w:val="5234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535201"/>
    <w:multiLevelType w:val="multilevel"/>
    <w:tmpl w:val="7CA0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E51EB7"/>
    <w:multiLevelType w:val="multilevel"/>
    <w:tmpl w:val="09E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1F6EC3"/>
    <w:multiLevelType w:val="multilevel"/>
    <w:tmpl w:val="1F567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77D60"/>
    <w:multiLevelType w:val="multilevel"/>
    <w:tmpl w:val="4A3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5D67CF"/>
    <w:multiLevelType w:val="multilevel"/>
    <w:tmpl w:val="8C2C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4521A"/>
    <w:multiLevelType w:val="multilevel"/>
    <w:tmpl w:val="CE4E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6217AC"/>
    <w:multiLevelType w:val="multilevel"/>
    <w:tmpl w:val="ADE01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8267CF"/>
    <w:multiLevelType w:val="multilevel"/>
    <w:tmpl w:val="9DCE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C53F5F"/>
    <w:multiLevelType w:val="multilevel"/>
    <w:tmpl w:val="E6D0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41438F"/>
    <w:multiLevelType w:val="multilevel"/>
    <w:tmpl w:val="23003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2A46E2"/>
    <w:multiLevelType w:val="multilevel"/>
    <w:tmpl w:val="36000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834340"/>
    <w:multiLevelType w:val="multilevel"/>
    <w:tmpl w:val="7A88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63841"/>
    <w:multiLevelType w:val="multilevel"/>
    <w:tmpl w:val="9554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D0220F"/>
    <w:multiLevelType w:val="multilevel"/>
    <w:tmpl w:val="9648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82521D"/>
    <w:multiLevelType w:val="multilevel"/>
    <w:tmpl w:val="E64EC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21"/>
  </w:num>
  <w:num w:numId="7">
    <w:abstractNumId w:val="4"/>
  </w:num>
  <w:num w:numId="8">
    <w:abstractNumId w:val="12"/>
  </w:num>
  <w:num w:numId="9">
    <w:abstractNumId w:val="17"/>
  </w:num>
  <w:num w:numId="10">
    <w:abstractNumId w:val="8"/>
  </w:num>
  <w:num w:numId="11">
    <w:abstractNumId w:val="15"/>
  </w:num>
  <w:num w:numId="12">
    <w:abstractNumId w:val="11"/>
  </w:num>
  <w:num w:numId="13">
    <w:abstractNumId w:val="9"/>
  </w:num>
  <w:num w:numId="14">
    <w:abstractNumId w:val="13"/>
  </w:num>
  <w:num w:numId="15">
    <w:abstractNumId w:val="20"/>
  </w:num>
  <w:num w:numId="16">
    <w:abstractNumId w:val="16"/>
  </w:num>
  <w:num w:numId="17">
    <w:abstractNumId w:val="10"/>
  </w:num>
  <w:num w:numId="18">
    <w:abstractNumId w:val="1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50"/>
    <w:rsid w:val="00002977"/>
    <w:rsid w:val="00160550"/>
    <w:rsid w:val="00286463"/>
    <w:rsid w:val="00494A1D"/>
    <w:rsid w:val="005F0A7B"/>
    <w:rsid w:val="006175F6"/>
    <w:rsid w:val="006D5F8A"/>
    <w:rsid w:val="00721CBA"/>
    <w:rsid w:val="007550BE"/>
    <w:rsid w:val="009347B2"/>
    <w:rsid w:val="009F2BBE"/>
    <w:rsid w:val="00D97CD7"/>
    <w:rsid w:val="00E6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6883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653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0700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00263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298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7106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7593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741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6483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1365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63734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871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1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7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11600041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711713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332486899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</w:divsChild>
        </w:div>
      </w:divsChild>
    </w:div>
    <w:div w:id="4442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9204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937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4145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53128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044540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8783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72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627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32382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327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1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3019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26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307440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057318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22000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21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362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72142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2376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5531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4848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3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501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863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3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54947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08649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485127396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5403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0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59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8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2098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72096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17439312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4268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4775731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867">
              <w:marLeft w:val="0"/>
              <w:marRight w:val="0"/>
              <w:marTop w:val="0"/>
              <w:marBottom w:val="720"/>
              <w:divBdr>
                <w:top w:val="single" w:sz="12" w:space="24" w:color="FADF73"/>
                <w:left w:val="none" w:sz="0" w:space="0" w:color="auto"/>
                <w:bottom w:val="single" w:sz="12" w:space="24" w:color="FADF73"/>
                <w:right w:val="none" w:sz="0" w:space="0" w:color="auto"/>
              </w:divBdr>
            </w:div>
            <w:div w:id="181537161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20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10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6260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72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4551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05094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528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053339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66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90432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8391531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588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6351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487064737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29521">
                  <w:blockQuote w:val="1"/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3244">
                  <w:marLeft w:val="57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467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43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2191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2488">
                  <w:marLeft w:val="-360"/>
                  <w:marRight w:val="0"/>
                  <w:marTop w:val="15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1399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77229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145030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4155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36076">
                  <w:marLeft w:val="0"/>
                  <w:marRight w:val="0"/>
                  <w:marTop w:val="4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722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9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432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92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8448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3211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2315">
                  <w:blockQuote w:val="1"/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196">
                  <w:marLeft w:val="57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1481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763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85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433959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873422970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  <w:div w:id="1106273144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9897">
                  <w:marLeft w:val="-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82916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25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ADF73"/>
                            <w:left w:val="single" w:sz="6" w:space="20" w:color="FADF73"/>
                            <w:bottom w:val="single" w:sz="6" w:space="0" w:color="FADF73"/>
                            <w:right w:val="single" w:sz="6" w:space="20" w:color="FADF73"/>
                          </w:divBdr>
                        </w:div>
                      </w:divsChild>
                    </w:div>
                    <w:div w:id="1981686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220422">
              <w:blockQuote w:val="1"/>
              <w:marLeft w:val="0"/>
              <w:marRight w:val="0"/>
              <w:marTop w:val="525"/>
              <w:marBottom w:val="525"/>
              <w:divBdr>
                <w:top w:val="single" w:sz="6" w:space="15" w:color="7F7F7F"/>
                <w:left w:val="none" w:sz="0" w:space="0" w:color="auto"/>
                <w:bottom w:val="single" w:sz="6" w:space="15" w:color="7F7F7F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101090025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499072756?ysclid=ls788kgoia367737143" TargetMode="External"/><Relationship Id="rId12" Type="http://schemas.openxmlformats.org/officeDocument/2006/relationships/hyperlink" Target="http://publication.pravo.gov.ru/Document/View/0001202210170042" TargetMode="External"/><Relationship Id="rId17" Type="http://schemas.openxmlformats.org/officeDocument/2006/relationships/hyperlink" Target="https://docs.cntd.ru/document/5736601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3500115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ublication.pravo.gov.ru/document/0001202311300048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://publication.pravo.gov.ru/document/0001202311300048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11300048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Vaio_71812V</dc:creator>
  <cp:lastModifiedBy>Vaio_71812V</cp:lastModifiedBy>
  <cp:revision>2</cp:revision>
  <dcterms:created xsi:type="dcterms:W3CDTF">2024-09-27T06:24:00Z</dcterms:created>
  <dcterms:modified xsi:type="dcterms:W3CDTF">2024-09-27T06:24:00Z</dcterms:modified>
</cp:coreProperties>
</file>