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824AD7">
        <w:rPr>
          <w:rFonts w:ascii="Times New Roman" w:eastAsia="Calibri" w:hAnsi="Times New Roman" w:cs="Times New Roman"/>
          <w:sz w:val="26"/>
          <w:szCs w:val="26"/>
          <w:lang w:bidi="en-US"/>
        </w:rPr>
        <w:t>осуществляет мониторинг</w:t>
      </w:r>
      <w:r w:rsidR="00824AD7" w:rsidRPr="00824AD7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законности введения и функционирования </w:t>
      </w:r>
      <w:r w:rsidR="00824AD7">
        <w:rPr>
          <w:rFonts w:ascii="Times New Roman" w:eastAsia="Calibri" w:hAnsi="Times New Roman" w:cs="Times New Roman"/>
          <w:sz w:val="26"/>
          <w:szCs w:val="26"/>
          <w:lang w:bidi="en-US"/>
        </w:rPr>
        <w:t>режимов</w:t>
      </w:r>
      <w:r w:rsidR="00824AD7" w:rsidRPr="00824AD7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чрезвычайной ситуации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F17ACD" w:rsidRDefault="00F17ACD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Прокуратур</w:t>
      </w:r>
      <w:r w:rsidR="00A81A9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ой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Сретенского района </w:t>
      </w:r>
      <w:r w:rsidR="00824AD7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систематически </w:t>
      </w:r>
      <w:r w:rsidR="00824AD7" w:rsidRPr="00824AD7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анализируется состояние законности в части функционирования режимов чрезвычайной ситуации</w:t>
      </w:r>
      <w:r w:rsidR="00824AD7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на территории муниципального района «Сретенский район».</w:t>
      </w:r>
    </w:p>
    <w:p w:rsidR="00824AD7" w:rsidRDefault="00824AD7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В ходе осуществления указанных мероприятий надзорным органом оценивается </w:t>
      </w:r>
      <w:r w:rsidR="00753F43" w:rsidRPr="00824AD7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обоснованность сохранения режимов чрезвычайной ситуации</w:t>
      </w:r>
      <w:r w:rsidR="00753F43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на территории муниципальных образований, при наличии оснований применяются комплекс мер прокурорского реагирования, направленный на устранение выявленных нарушений при введении и сохранении режимов чрезвычайной ситуации.</w:t>
      </w:r>
    </w:p>
    <w:p w:rsidR="00C61692" w:rsidRDefault="00C61692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Так, за истекший период 2024 года прокуратурой района приняты меры для отменены 4 режимов чрезвычайной ситуации, действовавших незаконно.</w:t>
      </w:r>
    </w:p>
    <w:p w:rsidR="00AE5C72" w:rsidRPr="00AE5C72" w:rsidRDefault="00753F43" w:rsidP="00AE5C7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Кроме того, п</w:t>
      </w:r>
      <w:r w:rsidR="00AE5C72" w:rsidRPr="00AE5C72">
        <w:rPr>
          <w:rFonts w:ascii="Times New Roman" w:eastAsia="Calibri" w:hAnsi="Times New Roman" w:cs="Times New Roman"/>
          <w:sz w:val="26"/>
          <w:szCs w:val="26"/>
          <w:lang w:bidi="en-US"/>
        </w:rPr>
        <w:t>остановлением Правительства Российской Федерации от 11.09.2024 № 1250 изменена классификация чрезвычайных ситуаций природного и техногенного характера.</w:t>
      </w:r>
    </w:p>
    <w:p w:rsidR="00AE5C72" w:rsidRPr="00AE5C72" w:rsidRDefault="00AE5C72" w:rsidP="00AE5C7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AE5C72">
        <w:rPr>
          <w:rFonts w:ascii="Times New Roman" w:eastAsia="Calibri" w:hAnsi="Times New Roman" w:cs="Times New Roman"/>
          <w:sz w:val="26"/>
          <w:szCs w:val="26"/>
          <w:lang w:bidi="en-US"/>
        </w:rPr>
        <w:t>Теперь размер ущерба окружающей природной среде и материальных потерь для чрезвычайных ситуаций локального характера теперь составляет до 360 тыс. рублей, муниципального и межмуниципального - до 18 млн рублей, регионального - от 18 млн до 1,8 млрд рублей, межрегионального - от 180 млн до 1,8 млрд рублей, федерального - более 1,8 млрд рублей.</w:t>
      </w:r>
    </w:p>
    <w:p w:rsidR="00AE5C72" w:rsidRPr="00AE5C72" w:rsidRDefault="00AE5C72" w:rsidP="00AE5C7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AE5C7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Для </w:t>
      </w:r>
      <w:r w:rsidR="00C61692">
        <w:rPr>
          <w:rFonts w:ascii="Times New Roman" w:eastAsia="Calibri" w:hAnsi="Times New Roman" w:cs="Times New Roman"/>
          <w:sz w:val="26"/>
          <w:szCs w:val="26"/>
          <w:lang w:bidi="en-US"/>
        </w:rPr>
        <w:t>чрезвычайной ситуации</w:t>
      </w:r>
      <w:r w:rsidRPr="00AE5C7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межрегионального характера уточнена территория распространения (зона чрезвычайной ситуации в каждом из указанных субъектов Российской Федерации затрагивает территорию двух и более муниципальных районов, муниципальных округов, городских округов или внутригородских территорий города федерального значения, при этом общий размер материального ущерба составляет не более 1,8 млрд. рублей).</w:t>
      </w:r>
    </w:p>
    <w:p w:rsidR="00AE5C72" w:rsidRDefault="00AE5C72" w:rsidP="00AE5C7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AE5C72">
        <w:rPr>
          <w:rFonts w:ascii="Times New Roman" w:eastAsia="Calibri" w:hAnsi="Times New Roman" w:cs="Times New Roman"/>
          <w:sz w:val="26"/>
          <w:szCs w:val="26"/>
          <w:lang w:bidi="en-US"/>
        </w:rPr>
        <w:t>Вместе с тем размер ущерба индексируется ежегодно с учетом уровня инфляции (потребительских цен).</w:t>
      </w:r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03707">
        <w:rPr>
          <w:rFonts w:ascii="Times New Roman" w:hAnsi="Times New Roman" w:cs="Times New Roman"/>
          <w:b/>
          <w:sz w:val="25"/>
          <w:szCs w:val="25"/>
        </w:rPr>
        <w:t>Андрей Перунов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942C5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53F43"/>
    <w:rsid w:val="007714A0"/>
    <w:rsid w:val="007776C9"/>
    <w:rsid w:val="007915D1"/>
    <w:rsid w:val="007B4339"/>
    <w:rsid w:val="007D493A"/>
    <w:rsid w:val="007D5320"/>
    <w:rsid w:val="007E2788"/>
    <w:rsid w:val="00824AD7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81A92"/>
    <w:rsid w:val="00A93822"/>
    <w:rsid w:val="00AA53E0"/>
    <w:rsid w:val="00AB1DAC"/>
    <w:rsid w:val="00AD37EA"/>
    <w:rsid w:val="00AD499A"/>
    <w:rsid w:val="00AE5C72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69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3707"/>
    <w:rsid w:val="00F05AA9"/>
    <w:rsid w:val="00F12AE7"/>
    <w:rsid w:val="00F17ACD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975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157</cp:revision>
  <cp:lastPrinted>2024-07-11T07:12:00Z</cp:lastPrinted>
  <dcterms:created xsi:type="dcterms:W3CDTF">2017-02-18T06:15:00Z</dcterms:created>
  <dcterms:modified xsi:type="dcterms:W3CDTF">2024-12-14T10:23:00Z</dcterms:modified>
</cp:coreProperties>
</file>