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13689">
      <w:pPr>
        <w:pStyle w:val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Изменения в процедурах по ОТ с 1 марта: разбор и полезная таблица</w:t>
      </w:r>
    </w:p>
    <w:p w:rsidR="00000000" w:rsidRDefault="00313689">
      <w:pPr>
        <w:pStyle w:val="a3"/>
      </w:pPr>
      <w:r>
        <w:rPr>
          <w:rStyle w:val="letter"/>
        </w:rPr>
        <w:t>С </w:t>
      </w:r>
      <w:r>
        <w:t>1 марта вступят в силу нормативно-правовые акты, которые коснутся работы всех организаций. Некоторые изменения затронут предприятия только нескольких отраслей. Из-за нововведений специалистам по ОТ нужн</w:t>
      </w:r>
      <w:r>
        <w:t>о обновить локальные документы компании — перечень нормативных актов и порядки или положения по охране труда. Изменения в процедурах разобрали далее.</w:t>
      </w:r>
    </w:p>
    <w:p w:rsidR="00000000" w:rsidRDefault="00313689">
      <w:pPr>
        <w:pStyle w:val="2"/>
        <w:rPr>
          <w:rFonts w:eastAsia="Times New Roman"/>
        </w:rPr>
      </w:pPr>
      <w:r>
        <w:rPr>
          <w:rStyle w:val="red"/>
          <w:rFonts w:eastAsia="Times New Roman"/>
        </w:rPr>
        <w:t>ОРГАНИЗАЦИЯ РАБОТЫ</w:t>
      </w:r>
    </w:p>
    <w:p w:rsidR="00000000" w:rsidRDefault="00313689">
      <w:pPr>
        <w:pStyle w:val="2"/>
        <w:rPr>
          <w:rFonts w:eastAsia="Times New Roman"/>
        </w:rPr>
      </w:pPr>
      <w:r>
        <w:rPr>
          <w:rFonts w:eastAsia="Times New Roman"/>
        </w:rPr>
        <w:t>Утвердили требования к размещению, хранению и использованию аптечек</w:t>
      </w:r>
    </w:p>
    <w:p w:rsidR="00000000" w:rsidRDefault="00313689">
      <w:pPr>
        <w:divId w:val="779567088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16427" cy="213378"/>
            <wp:effectExtent l="0" t="0" r="0" b="0"/>
            <wp:docPr id="2" name="Рисунок 2" descr="https://e.profkiosk.ru/service_tbn2/nz63j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nz63jm.pn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7" cy="21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3689">
      <w:pPr>
        <w:pStyle w:val="3"/>
        <w:divId w:val="2143620487"/>
        <w:rPr>
          <w:rFonts w:eastAsia="Times New Roman"/>
        </w:rPr>
      </w:pPr>
      <w:r>
        <w:rPr>
          <w:rStyle w:val="red"/>
          <w:rFonts w:eastAsia="Times New Roman"/>
        </w:rPr>
        <w:t>Важно</w:t>
      </w:r>
    </w:p>
    <w:p w:rsidR="00000000" w:rsidRDefault="00313689">
      <w:pPr>
        <w:pStyle w:val="a3"/>
        <w:divId w:val="2143620487"/>
      </w:pPr>
      <w:r>
        <w:t>Нельзя использовать медизделия, если нарушили стерильность, в том числе загрязнили их кровью и другими биологическими жидкостями</w:t>
      </w:r>
    </w:p>
    <w:p w:rsidR="00000000" w:rsidRDefault="00313689">
      <w:pPr>
        <w:pStyle w:val="a3"/>
      </w:pPr>
      <w:r>
        <w:t xml:space="preserve">Ранее требования к размещению, хранению и использованию аптечек устанавливали только в ПОТ для конкретных отраслей, </w:t>
      </w:r>
      <w:proofErr w:type="gramStart"/>
      <w:r>
        <w:t>например</w:t>
      </w:r>
      <w:proofErr w:type="gramEnd"/>
      <w:r>
        <w:t xml:space="preserve">: в сельском хозяйстве и подразделениях пожарной охраны. Теперь появятся общие требования, которые утвердили </w:t>
      </w:r>
      <w:hyperlink r:id="rId6" w:anchor="/document/99/1307270748/" w:history="1">
        <w:r>
          <w:rPr>
            <w:rStyle w:val="a4"/>
          </w:rPr>
          <w:t>приказом Минтруда от 09.08.2024 № 398н</w:t>
        </w:r>
      </w:hyperlink>
      <w:r>
        <w:t xml:space="preserve"> (далее — приказ № 398н).</w:t>
      </w:r>
    </w:p>
    <w:p w:rsidR="00000000" w:rsidRDefault="00313689">
      <w:pPr>
        <w:pStyle w:val="a3"/>
      </w:pPr>
      <w:r>
        <w:t>Количество аптечек и мест для их размещения и хранения приказ № 398н четко не регламентирует. Его по-прежнему работодатель определяет самостоятельн</w:t>
      </w:r>
      <w:r>
        <w:t>о. Рассчитайте количество аптечек исходя из площадей, численности персонала, видов и количества травмоопасных работ так, чтобы у работников был доступ к ним в кратчайшие сроки. Например, на производстве аптечки размещают в каждом цехе, если на территории н</w:t>
      </w:r>
      <w:r>
        <w:t>ет медпункта. Если есть профсоюз или уполномоченный по ОТ, запросите его мнение.</w:t>
      </w:r>
    </w:p>
    <w:p w:rsidR="00000000" w:rsidRDefault="00313689">
      <w:pPr>
        <w:pStyle w:val="a3"/>
      </w:pPr>
      <w:r>
        <w:t>Приказ № 398н устанавливает минимальные требования и позволяет работодателю дополнять их в зависимости от специфики деятельности и результатов оценки профрисков. Минтруд реком</w:t>
      </w:r>
      <w:r>
        <w:t>ендует, но не обязывает отмечать места с аптечками на планах эвакуации. При этом обязательно располагать аптечки в местах, которые:</w:t>
      </w:r>
    </w:p>
    <w:p w:rsidR="00000000" w:rsidRDefault="0031368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Доступны всем.</w:t>
      </w:r>
    </w:p>
    <w:p w:rsidR="00000000" w:rsidRDefault="0031368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Соответствуют требованиям производителей на упаковке медизделий.</w:t>
      </w:r>
    </w:p>
    <w:p w:rsidR="00000000" w:rsidRDefault="0031368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Имеют соответствующие сигнальные цвета и зна</w:t>
      </w:r>
      <w:r>
        <w:rPr>
          <w:rFonts w:eastAsia="Times New Roman"/>
        </w:rPr>
        <w:t>ки.</w:t>
      </w:r>
    </w:p>
    <w:p w:rsidR="00000000" w:rsidRDefault="00313689">
      <w:pPr>
        <w:pStyle w:val="3"/>
        <w:divId w:val="1388841239"/>
        <w:rPr>
          <w:rFonts w:eastAsia="Times New Roman"/>
        </w:rPr>
      </w:pPr>
      <w:r>
        <w:rPr>
          <w:rStyle w:val="red"/>
          <w:rFonts w:eastAsia="Times New Roman"/>
        </w:rPr>
        <w:t>Статья в тему</w:t>
      </w:r>
    </w:p>
    <w:p w:rsidR="00000000" w:rsidRDefault="00313689">
      <w:pPr>
        <w:pStyle w:val="a3"/>
        <w:divId w:val="1388841239"/>
      </w:pPr>
      <w:hyperlink r:id="rId7" w:anchor="/document/189/1102280/" w:history="1">
        <w:r>
          <w:rPr>
            <w:rStyle w:val="a4"/>
          </w:rPr>
          <w:t>Новые требования к аптечкам: инструкция и сервис, чтобы перестроить работу и правильно укомплектовать</w:t>
        </w:r>
      </w:hyperlink>
    </w:p>
    <w:p w:rsidR="00000000" w:rsidRDefault="00313689">
      <w:pPr>
        <w:pStyle w:val="a3"/>
      </w:pPr>
      <w:r>
        <w:lastRenderedPageBreak/>
        <w:t>Работодатель должен обеспечить контроль за комплектацией аптечек, их по</w:t>
      </w:r>
      <w:r>
        <w:t>полнением и сроком службы медизделий. Поэтому установите в ЛНА периодичность контроля, назначьте ответственного и проинформируйте его об изменениях. Если меняете места размещения аптечек, ознакомьте с ними работников способом, который указали в ЛНА.</w:t>
      </w:r>
    </w:p>
    <w:p w:rsidR="00000000" w:rsidRDefault="00313689">
      <w:pPr>
        <w:pStyle w:val="a3"/>
      </w:pPr>
      <w:r>
        <w:t xml:space="preserve">Кроме </w:t>
      </w:r>
      <w:r>
        <w:t>общих требований к размещению, хранению и использованию аптечек для работников, профильные ведомства утвердили отраслевые. Чтобы посмотреть отличия, нажмите на нужную отрасль.</w:t>
      </w:r>
    </w:p>
    <w:p w:rsidR="00000000" w:rsidRDefault="00313689">
      <w:pPr>
        <w:pStyle w:val="a3"/>
      </w:pPr>
      <w:r>
        <w:t>https://e.profkiosk.ru/media/aa013366-446d-4122-8073-06862c3d2817/</w:t>
      </w:r>
    </w:p>
    <w:p w:rsidR="00000000" w:rsidRDefault="00313689">
      <w:pPr>
        <w:pStyle w:val="2"/>
        <w:rPr>
          <w:rFonts w:eastAsia="Times New Roman"/>
        </w:rPr>
      </w:pPr>
      <w:r>
        <w:rPr>
          <w:rFonts w:eastAsia="Times New Roman"/>
        </w:rPr>
        <w:t>Установили ос</w:t>
      </w:r>
      <w:r>
        <w:rPr>
          <w:rFonts w:eastAsia="Times New Roman"/>
        </w:rPr>
        <w:t>обенности регулирования труда наставников</w:t>
      </w:r>
    </w:p>
    <w:p w:rsidR="00000000" w:rsidRDefault="00313689">
      <w:pPr>
        <w:divId w:val="1299871355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16427" cy="213378"/>
            <wp:effectExtent l="0" t="0" r="0" b="0"/>
            <wp:docPr id="3" name="Рисунок 3" descr="https://e.profkiosk.ru/service_tbn2/3emi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3emif0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7" cy="21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3689">
      <w:pPr>
        <w:pStyle w:val="3"/>
        <w:divId w:val="1752701241"/>
        <w:rPr>
          <w:rFonts w:eastAsia="Times New Roman"/>
        </w:rPr>
      </w:pPr>
      <w:r>
        <w:rPr>
          <w:rStyle w:val="red"/>
          <w:rFonts w:eastAsia="Times New Roman"/>
        </w:rPr>
        <w:t>Обратите внимание</w:t>
      </w:r>
    </w:p>
    <w:p w:rsidR="00000000" w:rsidRDefault="00313689">
      <w:pPr>
        <w:pStyle w:val="a3"/>
        <w:divId w:val="1752701241"/>
      </w:pPr>
      <w:r>
        <w:t xml:space="preserve">Размеры и условия выплат за наставничество устанавливают в ЛНА, </w:t>
      </w:r>
      <w:proofErr w:type="gramStart"/>
      <w:r>
        <w:t>например</w:t>
      </w:r>
      <w:proofErr w:type="gramEnd"/>
      <w:r>
        <w:t xml:space="preserve"> в коллективном договоре или соглашении</w:t>
      </w:r>
    </w:p>
    <w:p w:rsidR="00000000" w:rsidRDefault="00313689">
      <w:pPr>
        <w:pStyle w:val="a3"/>
      </w:pPr>
      <w:r>
        <w:t xml:space="preserve">В ТК добавят </w:t>
      </w:r>
      <w:hyperlink r:id="rId9" w:anchor="/document/99/1310104839/XA00LU62M3/" w:tgtFrame="_blank" w:history="1">
        <w:r>
          <w:rPr>
            <w:rStyle w:val="a4"/>
          </w:rPr>
          <w:t>статью 351.8</w:t>
        </w:r>
      </w:hyperlink>
      <w:r>
        <w:t>. В ней впервые пропишут, как регулировать труд наставников. Их задача — помогать коллегам осваивать навыки работы по профессии или специальности. Наставн</w:t>
      </w:r>
      <w:r>
        <w:t>ика назначает работодатель или его представитель, при этом в ТК предусмотрели право работника отказаться от дополнительных обязанностей.</w:t>
      </w:r>
    </w:p>
    <w:p w:rsidR="00000000" w:rsidRDefault="00313689">
      <w:pPr>
        <w:pStyle w:val="a3"/>
      </w:pPr>
      <w:r>
        <w:t>По письменному заявлению наставник вправе досрочно отказаться от обязанностей. Работодатель также может отменить свое п</w:t>
      </w:r>
      <w:r>
        <w:t xml:space="preserve">оручение о наставничестве, если письменно уведомит </w:t>
      </w:r>
      <w:proofErr w:type="gramStart"/>
      <w:r>
        <w:t>об этом работника</w:t>
      </w:r>
      <w:proofErr w:type="gramEnd"/>
      <w:r>
        <w:t xml:space="preserve"> за три рабочих дня.</w:t>
      </w:r>
    </w:p>
    <w:p w:rsidR="00000000" w:rsidRDefault="00313689">
      <w:pPr>
        <w:pStyle w:val="a3"/>
      </w:pPr>
      <w:r>
        <w:t>Оформлять документы по процедуре будут кадровики, но специалисту по ОТ нужно проверить, что предусмотрели возможность наставников помогать коллегам осваивать требовани</w:t>
      </w:r>
      <w:r>
        <w:t>я ОТ. Изучите информацию о наставничестве, чтобы проконсультировать работников.</w:t>
      </w:r>
    </w:p>
    <w:p w:rsidR="00000000" w:rsidRDefault="00313689">
      <w:pPr>
        <w:pStyle w:val="2"/>
        <w:rPr>
          <w:rFonts w:eastAsia="Times New Roman"/>
        </w:rPr>
      </w:pPr>
      <w:r>
        <w:rPr>
          <w:rStyle w:val="red"/>
          <w:rFonts w:eastAsia="Times New Roman"/>
        </w:rPr>
        <w:t>МЕДОСМОТРЫ</w:t>
      </w:r>
    </w:p>
    <w:p w:rsidR="00000000" w:rsidRDefault="00313689">
      <w:pPr>
        <w:pStyle w:val="2"/>
        <w:rPr>
          <w:rFonts w:eastAsia="Times New Roman"/>
        </w:rPr>
      </w:pPr>
      <w:bookmarkStart w:id="0" w:name="432"/>
      <w:bookmarkEnd w:id="0"/>
      <w:r>
        <w:rPr>
          <w:rFonts w:eastAsia="Times New Roman"/>
        </w:rPr>
        <w:t>Скорректировали противопоказания к работе для лиц с нарушением слуха</w:t>
      </w:r>
    </w:p>
    <w:p w:rsidR="00000000" w:rsidRDefault="00313689">
      <w:pPr>
        <w:pStyle w:val="a3"/>
      </w:pPr>
      <w:r>
        <w:t>Минздрав расширил перечень противопоказаний, что увеличит число работников с отрицательными закл</w:t>
      </w:r>
      <w:r>
        <w:t>ючениями после медосмотров. В перечень противопоказаний добавили смешанную форму потери слуха и степени снижения слуха (</w:t>
      </w:r>
      <w:hyperlink r:id="rId10" w:anchor="/document/99/1310029311/XA00LTK2M0/" w:tgtFrame="_blank" w:history="1">
        <w:r>
          <w:rPr>
            <w:rStyle w:val="a4"/>
          </w:rPr>
          <w:t>п. 1</w:t>
        </w:r>
      </w:hyperlink>
      <w:r>
        <w:t xml:space="preserve"> приказа Минздрава от 02.10.2024 № 509н). </w:t>
      </w:r>
      <w:r>
        <w:t>Внеочередной медосмотр из-за изменений проводить не нужно. Если есть противопоказание, его выявят на очередном.</w:t>
      </w:r>
    </w:p>
    <w:p w:rsidR="00000000" w:rsidRDefault="00313689">
      <w:pPr>
        <w:pStyle w:val="a3"/>
      </w:pPr>
      <w:r>
        <w:t>Противопоказанием к работе станет кондуктивная, нейросенсорная, смешанная форма потери слуха с одно- или двусторонним снижением слуха или глухот</w:t>
      </w:r>
      <w:r>
        <w:t xml:space="preserve">ой. Исключение — лица с врожденной или приобретенной до 17 лет включительно тугоухостью или </w:t>
      </w:r>
      <w:r>
        <w:lastRenderedPageBreak/>
        <w:t>глухотой. Для поступающих на работу противопоказание — I–IV степени снижения слуха, а для работающих — II–IV степени.</w:t>
      </w:r>
    </w:p>
    <w:p w:rsidR="00000000" w:rsidRDefault="00313689">
      <w:pPr>
        <w:pStyle w:val="2"/>
        <w:rPr>
          <w:rFonts w:eastAsia="Times New Roman"/>
        </w:rPr>
      </w:pPr>
      <w:r>
        <w:rPr>
          <w:rFonts w:eastAsia="Times New Roman"/>
        </w:rPr>
        <w:t>Обновили противопоказания к работам, которые с</w:t>
      </w:r>
      <w:r>
        <w:rPr>
          <w:rFonts w:eastAsia="Times New Roman"/>
        </w:rPr>
        <w:t>вязаны с движением поездов и маневровой работой</w:t>
      </w:r>
    </w:p>
    <w:p w:rsidR="00000000" w:rsidRDefault="00313689">
      <w:pPr>
        <w:pStyle w:val="a3"/>
      </w:pPr>
      <w:r>
        <w:t>Для работников, труд которых непосредственно связан с движением поездов и маневровой работой, скорректировали медицинские противопоказания. Если на очередном медосмотре выявят заболевания из перечня, утвержде</w:t>
      </w:r>
      <w:r>
        <w:t xml:space="preserve">нного </w:t>
      </w:r>
      <w:hyperlink r:id="rId11" w:anchor="/document/99/1306261458/" w:history="1">
        <w:r>
          <w:rPr>
            <w:rStyle w:val="a4"/>
          </w:rPr>
          <w:t>приказом Минздрава от 06.05.2024 № 226н</w:t>
        </w:r>
      </w:hyperlink>
      <w:r>
        <w:t>, выдадут отрицательное заключение и работника придется отстранить. Перечень дополнили противопоказаниями:</w:t>
      </w:r>
    </w:p>
    <w:p w:rsidR="00000000" w:rsidRDefault="003136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сахарный диабет;</w:t>
      </w:r>
    </w:p>
    <w:p w:rsidR="00000000" w:rsidRDefault="003136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психические расстрой</w:t>
      </w:r>
      <w:r>
        <w:rPr>
          <w:rFonts w:eastAsia="Times New Roman"/>
        </w:rPr>
        <w:t>ства;</w:t>
      </w:r>
    </w:p>
    <w:p w:rsidR="00000000" w:rsidRDefault="003136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 ожирении примут во внимание наличие осложнений — сердечно-легочной недостаточности, синдрома обструктивного апноэ сна, нарушений функции опорно-двигательного аппарата;</w:t>
      </w:r>
    </w:p>
    <w:p w:rsidR="00000000" w:rsidRDefault="003136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противопоказания, которые могут возникнуть при беременности и после родов.</w:t>
      </w:r>
    </w:p>
    <w:p w:rsidR="00000000" w:rsidRDefault="00313689">
      <w:pPr>
        <w:pStyle w:val="2"/>
        <w:rPr>
          <w:rFonts w:eastAsia="Times New Roman"/>
        </w:rPr>
      </w:pPr>
      <w:r>
        <w:rPr>
          <w:rStyle w:val="red"/>
          <w:rFonts w:eastAsia="Times New Roman"/>
        </w:rPr>
        <w:t>СПЕ</w:t>
      </w:r>
      <w:r>
        <w:rPr>
          <w:rStyle w:val="red"/>
          <w:rFonts w:eastAsia="Times New Roman"/>
        </w:rPr>
        <w:t>ЦОЦЕНКА</w:t>
      </w:r>
    </w:p>
    <w:p w:rsidR="00000000" w:rsidRDefault="00313689">
      <w:pPr>
        <w:pStyle w:val="2"/>
        <w:rPr>
          <w:rFonts w:eastAsia="Times New Roman"/>
        </w:rPr>
      </w:pPr>
      <w:bookmarkStart w:id="1" w:name="865"/>
      <w:bookmarkEnd w:id="1"/>
      <w:r>
        <w:rPr>
          <w:rFonts w:eastAsia="Times New Roman"/>
        </w:rPr>
        <w:t>Добавили правовое основание проверкам организаций, которые проводят СОУТ</w:t>
      </w:r>
    </w:p>
    <w:p w:rsidR="00000000" w:rsidRDefault="00313689">
      <w:pPr>
        <w:pStyle w:val="a3"/>
      </w:pPr>
      <w:r>
        <w:t xml:space="preserve">Внесли изменения в статьи </w:t>
      </w:r>
      <w:hyperlink r:id="rId12" w:anchor="/document/99/901807664/ZA00MD42O2/" w:history="1">
        <w:r>
          <w:rPr>
            <w:rStyle w:val="a4"/>
          </w:rPr>
          <w:t>353</w:t>
        </w:r>
      </w:hyperlink>
      <w:r>
        <w:t xml:space="preserve"> и </w:t>
      </w:r>
      <w:hyperlink r:id="rId13" w:anchor="/document/99/901807664/ZA01TOS3DO/" w:history="1">
        <w:r>
          <w:rPr>
            <w:rStyle w:val="a4"/>
          </w:rPr>
          <w:t>357</w:t>
        </w:r>
      </w:hyperlink>
      <w:r>
        <w:t> ТК о контроле за организациями, которые проводят СОУТ. Теперь у ГИТ будет больше оснований проверять экспертные компании по спецоценке, а не только поручение Правительства и индикаторы риска. Организации будут проверять планово, если им прис</w:t>
      </w:r>
      <w:r>
        <w:t>воят высокую категорию риска после смертельного НС.</w:t>
      </w:r>
    </w:p>
    <w:p w:rsidR="00000000" w:rsidRDefault="00313689">
      <w:pPr>
        <w:pStyle w:val="a3"/>
      </w:pPr>
      <w:r>
        <w:t>Специалистам по ОТ будет проще выбирать организацию для проведения спецоценки, ведь проверки ГИТ сократят количество недобросовестных компаний в реестре Минтруда. Это положительно скажется на качестве СОУ</w:t>
      </w:r>
      <w:r>
        <w:t>Т.</w:t>
      </w:r>
    </w:p>
    <w:p w:rsidR="00000000" w:rsidRDefault="00313689">
      <w:pPr>
        <w:pStyle w:val="2"/>
        <w:rPr>
          <w:rFonts w:eastAsia="Times New Roman"/>
        </w:rPr>
      </w:pPr>
      <w:bookmarkStart w:id="2" w:name="221"/>
      <w:bookmarkEnd w:id="2"/>
      <w:r>
        <w:rPr>
          <w:rFonts w:eastAsia="Times New Roman"/>
        </w:rPr>
        <w:t>Установили особенности СОУТ на рабочих местах экипажей воздушных судов</w:t>
      </w:r>
    </w:p>
    <w:p w:rsidR="00000000" w:rsidRDefault="00313689">
      <w:pPr>
        <w:divId w:val="9117175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16427" cy="213378"/>
            <wp:effectExtent l="0" t="0" r="0" b="0"/>
            <wp:docPr id="4" name="Рисунок 4" descr="https://e.profkiosk.ru/service_tbn2/nz63j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nz63jm.pn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7" cy="21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3689">
      <w:pPr>
        <w:pStyle w:val="3"/>
        <w:divId w:val="169487064"/>
        <w:rPr>
          <w:rFonts w:eastAsia="Times New Roman"/>
        </w:rPr>
      </w:pPr>
      <w:r>
        <w:rPr>
          <w:rStyle w:val="red"/>
          <w:rFonts w:eastAsia="Times New Roman"/>
        </w:rPr>
        <w:t>Важно</w:t>
      </w:r>
    </w:p>
    <w:p w:rsidR="00000000" w:rsidRDefault="00313689">
      <w:pPr>
        <w:pStyle w:val="a3"/>
        <w:divId w:val="169487064"/>
      </w:pPr>
      <w:r>
        <w:t>Экспертам СОУТ проводят вводный ин</w:t>
      </w:r>
      <w:r>
        <w:t>структаж и досмотр перед измерениями для обеспечения транспортной безопасности</w:t>
      </w:r>
    </w:p>
    <w:p w:rsidR="00000000" w:rsidRDefault="00313689">
      <w:pPr>
        <w:pStyle w:val="a3"/>
      </w:pPr>
      <w:r>
        <w:t xml:space="preserve">Теперь спецоценку на рабочих местах экипажей воздушных судов будут проводить с учетом </w:t>
      </w:r>
      <w:hyperlink r:id="rId14" w:anchor="/document/99/1306703340/" w:history="1">
        <w:r>
          <w:rPr>
            <w:rStyle w:val="a4"/>
          </w:rPr>
          <w:t>приказа Минтруда от </w:t>
        </w:r>
        <w:r>
          <w:rPr>
            <w:rStyle w:val="a4"/>
          </w:rPr>
          <w:t>06.05.2024 № 255н</w:t>
        </w:r>
      </w:hyperlink>
      <w:r>
        <w:t>. Специалистам по ОТ нужно ознакомить с особенностями членов комиссии по СОУТ, так как у них появятся новые обязанности.</w:t>
      </w:r>
    </w:p>
    <w:p w:rsidR="00000000" w:rsidRDefault="00313689">
      <w:pPr>
        <w:pStyle w:val="a3"/>
      </w:pPr>
      <w:r>
        <w:rPr>
          <w:b/>
          <w:bCs/>
        </w:rPr>
        <w:lastRenderedPageBreak/>
        <w:t>Особенности процедуры СОУТ в гражданской авиации и обязанности комиссии</w:t>
      </w:r>
    </w:p>
    <w:p w:rsidR="00000000" w:rsidRDefault="00313689">
      <w:pPr>
        <w:pStyle w:val="a3"/>
      </w:pPr>
      <w:r>
        <w:t>https://e.profkiosk.ru/media/471631a9-6063-4c1</w:t>
      </w:r>
      <w:r>
        <w:t>f-9ade-90464ca73ff4/slider.html</w:t>
      </w:r>
    </w:p>
    <w:p w:rsidR="00000000" w:rsidRDefault="00313689">
      <w:pPr>
        <w:pStyle w:val="2"/>
        <w:rPr>
          <w:rFonts w:eastAsia="Times New Roman"/>
        </w:rPr>
      </w:pPr>
      <w:r>
        <w:rPr>
          <w:rFonts w:eastAsia="Times New Roman"/>
        </w:rPr>
        <w:t>Обзор изменений 2025 года</w:t>
      </w:r>
    </w:p>
    <w:p w:rsidR="00000000" w:rsidRDefault="00313689">
      <w:pPr>
        <w:pStyle w:val="a3"/>
      </w:pPr>
      <w:r>
        <w:t>В начале этого года вступили в силу изменения в правилах финансирования предупредительных мер, перечне индикаторов риска для проверок ГИТ и форме заявления на скидку к взносам за травматизм. С 1 сен</w:t>
      </w:r>
      <w:r>
        <w:t>тября утвердят требования к размещению, хранению и использованию отраслевых аптечек. Обзор этих и других изменений этого года смотрите в таблице ниже. </w:t>
      </w:r>
    </w:p>
    <w:p w:rsidR="00313689" w:rsidRDefault="00313689">
      <w:pPr>
        <w:rPr>
          <w:rFonts w:eastAsia="Times New Roman"/>
        </w:rPr>
      </w:pPr>
      <w:bookmarkStart w:id="3" w:name="_GoBack"/>
      <w:bookmarkEnd w:id="3"/>
      <w:r>
        <w:rPr>
          <w:rFonts w:eastAsia="Times New Roman"/>
        </w:rPr>
        <w:br/>
      </w:r>
    </w:p>
    <w:sectPr w:rsidR="0031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506D2"/>
    <w:multiLevelType w:val="multilevel"/>
    <w:tmpl w:val="96AE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7C48CD"/>
    <w:multiLevelType w:val="multilevel"/>
    <w:tmpl w:val="2CD8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7220"/>
    <w:rsid w:val="00313689"/>
    <w:rsid w:val="007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6460F-C56C-40FA-92C5-1B9B5AA5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withphoto">
    <w:name w:val="withphoto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letter">
    <w:name w:val="letter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ed">
    <w:name w:val="red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ndarticle">
    <w:name w:val="endartic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740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.profkiosk.ru/service_tbn2/3emif0.png" TargetMode="External"/><Relationship Id="rId13" Type="http://schemas.openxmlformats.org/officeDocument/2006/relationships/hyperlink" Target="https://1otruda.ru/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truda.ru//" TargetMode="External"/><Relationship Id="rId12" Type="http://schemas.openxmlformats.org/officeDocument/2006/relationships/hyperlink" Target="https://1otruda.ru/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truda.ru//" TargetMode="External"/><Relationship Id="rId11" Type="http://schemas.openxmlformats.org/officeDocument/2006/relationships/hyperlink" Target="https://1otruda.ru//" TargetMode="External"/><Relationship Id="rId5" Type="http://schemas.openxmlformats.org/officeDocument/2006/relationships/image" Target="https://e.profkiosk.ru/service_tbn2/nz63jm.p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otruda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truda.ru//" TargetMode="External"/><Relationship Id="rId14" Type="http://schemas.openxmlformats.org/officeDocument/2006/relationships/hyperlink" Target="https://1otruda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2025-02-07T06:41:00Z</dcterms:created>
  <dcterms:modified xsi:type="dcterms:W3CDTF">2025-02-07T06:41:00Z</dcterms:modified>
</cp:coreProperties>
</file>