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AF" w:rsidRPr="00E812AF" w:rsidRDefault="00E812AF" w:rsidP="00E812AF">
      <w:pPr>
        <w:shd w:val="clear" w:color="auto" w:fill="FFFFFF"/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E812A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СФР: возмещение расходов на охрану труда</w:t>
      </w:r>
      <w:bookmarkEnd w:id="0"/>
      <w:r w:rsidRPr="00E812AF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. Новые правила по приказу Минтруда № 347н</w:t>
      </w:r>
    </w:p>
    <w:p w:rsidR="00E812AF" w:rsidRPr="00E812AF" w:rsidRDefault="00E812AF" w:rsidP="00E812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2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B2773" wp14:editId="6325D929">
            <wp:extent cx="1898691" cy="1266412"/>
            <wp:effectExtent l="0" t="0" r="6350" b="0"/>
            <wp:docPr id="2" name="Рисунок 1" descr="https://coko1.ru/wp-content/uploads/2023/04/vozmeshhenie-rashodov-na-ohranu-truda-v-2023-godu-1024x6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3/04/vozmeshhenie-rashodov-na-ohranu-truda-v-2023-godu-1024x68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93" cy="127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AF" w:rsidRPr="00E812AF" w:rsidRDefault="00E812AF" w:rsidP="00E812AF">
      <w:pPr>
        <w:shd w:val="clear" w:color="auto" w:fill="FFFFFF"/>
        <w:spacing w:beforeAutospacing="1"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 1 января 2025 года вступает в силу новый приказ Минтруда России от 11 июля 2024 года № 347н, которым вводят новый порядок финансирования предупредительных мер по сокращению производственного травматизма и профессиональных заболеваний работников. А с 21 апреля 2025 года действует новый регламент СФР, которым чиновники утвердили две новые формы заявлений на финансирование охраны труда. В статье найдете полезные подсказки от экспертов ЦОКО№1 за какие новые мероприятия по </w:t>
      </w:r>
      <w:proofErr w:type="gramStart"/>
      <w:r w:rsidRPr="00E81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 вы</w:t>
      </w:r>
      <w:proofErr w:type="gramEnd"/>
      <w:r w:rsidRPr="00E812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можете теперь вернуть средства по новому приказу Минтруда №347н, как оформить возврат средств и в какие сроки это сделать.</w:t>
      </w:r>
    </w:p>
    <w:p w:rsidR="00E812AF" w:rsidRPr="00E812AF" w:rsidRDefault="00E812AF" w:rsidP="00E812AF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E812AF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Главные изменения по приказу Минтруда от 11.07.2024 № 347н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января 2025 года вступает в силу новый </w:t>
      </w:r>
      <w:hyperlink r:id="rId6" w:history="1">
        <w:r w:rsidRPr="00E812AF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приказ Минтруда от 11.07.2024 № 347н</w:t>
        </w:r>
      </w:hyperlink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заменяет приказ Минтруда от 14.07.2021 № 467н. Документом чиновники закрепили все изменения, которыми дополняли действовавший ранее приказ 467н, а также внесли новые. Их необходимо будет учитывать руководителям компаний при планировании бюджета по охране труда, а также </w:t>
      </w:r>
      <w:proofErr w:type="spellStart"/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СОТам</w:t>
      </w:r>
      <w:proofErr w:type="spellEnd"/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готовят и подают документы на возмещение средств в СФР. В список этих изменений, которые закрепили в новых Правилах финансирования, вошли следующие категории:</w:t>
      </w:r>
    </w:p>
    <w:p w:rsidR="00E812AF" w:rsidRPr="00E812AF" w:rsidRDefault="00E812AF" w:rsidP="00E812AF">
      <w:pPr>
        <w:numPr>
          <w:ilvl w:val="0"/>
          <w:numId w:val="2"/>
        </w:numPr>
        <w:shd w:val="clear" w:color="auto" w:fill="FFFFFF"/>
        <w:spacing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Утвердили расширенный перечень мероприятий, подлежащих финансированию.</w:t>
      </w:r>
    </w:p>
    <w:p w:rsidR="00E812AF" w:rsidRPr="00E812AF" w:rsidRDefault="00E812AF" w:rsidP="00E812AF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Увеличили лимиты финансирования для отдельных категорий мероприятий.</w:t>
      </w:r>
    </w:p>
    <w:p w:rsidR="00E812AF" w:rsidRPr="00E812AF" w:rsidRDefault="00E812AF" w:rsidP="00E812AF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Ужесточили требования к отчетности, ввели новые обязательные формы.</w:t>
      </w:r>
    </w:p>
    <w:p w:rsidR="00E812AF" w:rsidRPr="00E812AF" w:rsidRDefault="00E812AF" w:rsidP="00E812AF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Закрепили новые сроки подачи документов и отчетов.</w:t>
      </w:r>
    </w:p>
    <w:p w:rsidR="00E812AF" w:rsidRPr="00E812AF" w:rsidRDefault="00E812AF" w:rsidP="00E812AF">
      <w:pPr>
        <w:numPr>
          <w:ilvl w:val="0"/>
          <w:numId w:val="2"/>
        </w:numPr>
        <w:shd w:val="clear" w:color="auto" w:fill="FFFFFF"/>
        <w:spacing w:before="225" w:after="0" w:line="40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Утвердили дополнительные категории затрат, включая оценку профессиональных рисков и закупку приборов безопасности.</w:t>
      </w:r>
    </w:p>
    <w:p w:rsidR="00E812AF" w:rsidRPr="00E812AF" w:rsidRDefault="00E812AF" w:rsidP="00E812AF">
      <w:pPr>
        <w:shd w:val="clear" w:color="auto" w:fill="FFFFFF"/>
        <w:spacing w:after="330" w:line="315" w:lineRule="atLeast"/>
        <w:rPr>
          <w:rFonts w:ascii="Formular" w:eastAsia="Times New Roman" w:hAnsi="Formular" w:cs="Arial"/>
          <w:b/>
          <w:bCs/>
          <w:caps/>
          <w:color w:val="000000"/>
          <w:spacing w:val="12"/>
          <w:sz w:val="24"/>
          <w:szCs w:val="24"/>
          <w:bdr w:val="single" w:sz="2" w:space="24" w:color="000000" w:frame="1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fldChar w:fldCharType="begin"/>
      </w: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"https://coko1.ru/upravlenie-riskami/" </w:instrText>
      </w: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E812AF" w:rsidRPr="00E812AF" w:rsidRDefault="00E812AF" w:rsidP="00E812AF">
      <w:pPr>
        <w:shd w:val="clear" w:color="auto" w:fill="FFFFFF"/>
        <w:spacing w:after="0" w:line="315" w:lineRule="atLeast"/>
        <w:rPr>
          <w:rFonts w:ascii="Formular" w:eastAsia="Times New Roman" w:hAnsi="Formular" w:cs="Arial"/>
          <w:color w:val="000000"/>
          <w:sz w:val="21"/>
          <w:szCs w:val="21"/>
          <w:bdr w:val="single" w:sz="2" w:space="24" w:color="000000" w:frame="1"/>
          <w:lang w:eastAsia="ru-RU"/>
        </w:rPr>
      </w:pPr>
    </w:p>
    <w:p w:rsidR="00E812AF" w:rsidRPr="00E812AF" w:rsidRDefault="00E812AF" w:rsidP="00E812AF">
      <w:pPr>
        <w:shd w:val="clear" w:color="auto" w:fill="FFFFFF"/>
        <w:spacing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2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➜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11.07.2024 № 347н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появился новый пункт 3: </w:t>
      </w:r>
      <w:r w:rsidRPr="00E812AF">
        <w:rPr>
          <w:rFonts w:ascii="Formular" w:eastAsia="Times New Roman" w:hAnsi="Formular" w:cs="Times New Roman"/>
          <w:b/>
          <w:bCs/>
          <w:i/>
          <w:iCs/>
          <w:color w:val="FF0000"/>
          <w:sz w:val="24"/>
          <w:szCs w:val="24"/>
          <w:lang w:eastAsia="ru-RU"/>
        </w:rPr>
        <w:t>Страхователь самостоятельно определяет перечень осуществляемых в текущем календарном году предупредительных мер в соответствии с пунктом 2 настоящих Правил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 и (или) перечня реализуемых страхователем мероприятий по улучшению условий и охраны труда, ликвидации или снижению уровней профессиональных рисков либо недопущению повышения их уровней.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➜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2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предупредительных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финансировать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страховых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взносов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дополнили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,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ботодатели с 1 января 2025 года. Теперь он сформулирован так: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i/>
          <w:iCs/>
          <w:color w:val="000000"/>
          <w:sz w:val="24"/>
          <w:szCs w:val="24"/>
          <w:lang w:eastAsia="ru-RU"/>
        </w:rPr>
        <w:t>г) приобретение работникам СИЗ, изготовленных на территории государств — членов Евразийского экономического союза, и смывающих средств </w:t>
      </w:r>
      <w:r w:rsidRPr="00E812AF">
        <w:rPr>
          <w:rFonts w:ascii="Formular" w:eastAsia="Times New Roman" w:hAnsi="Formular" w:cs="Times New Roman"/>
          <w:b/>
          <w:bCs/>
          <w:i/>
          <w:iCs/>
          <w:color w:val="FF0000"/>
          <w:sz w:val="24"/>
          <w:szCs w:val="24"/>
          <w:lang w:eastAsia="ru-RU"/>
        </w:rPr>
        <w:t>на основании норм бесплатной выдачи СИЗ и смывающих средств, утвержденных локальным нормативным актом и разработанных на основании Единых типовых норм выдачи средств индивидуальной защиты и смывающих средств (далее — Единые типовые нормы),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его наличии). 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➜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касается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алкотестеров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я наличия психотропных веществ в моче работников, которые проходят обязательные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предсменные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предрейсовые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медосмотры. СФР возместит их стоимость, если эти приборы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прошли процедуру государственной регистрации медицинских изделий и внесены в государственный реестр медицинских изделий и организаций (индивидуальных предпринимателей). </w:t>
      </w:r>
    </w:p>
    <w:p w:rsidR="00E812AF" w:rsidRPr="00E812AF" w:rsidRDefault="00E812AF" w:rsidP="00E812AF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lastRenderedPageBreak/>
        <w:t>Важно.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Вместе с Правилами, в 2025 году начнет действовать </w:t>
      </w:r>
      <w:hyperlink r:id="rId8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новый регламент СФР (АР ФОМП)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В нем чиновники учли все изменения, который утверждены </w:t>
      </w:r>
      <w:hyperlink r:id="rId9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11.07.2024 № 347н</w:t>
        </w:r>
      </w:hyperlink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12AF" w:rsidRPr="00E812AF" w:rsidRDefault="00E812AF" w:rsidP="00E812AF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Какие затраты по охране труда СФР возместит работодателю по приказу 347н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Итак, работодатель имеет возможность вернуть часть средств, затраченных на улучшение условий труда, из </w:t>
      </w:r>
      <w:hyperlink r:id="rId10" w:history="1">
        <w:r w:rsidRPr="00E812AF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Социального фонда России (СФР)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Для этого необходимо сначала уведомить фонд о своем намерении потратить определенную сумму, а затем, после получения приказа Фонда о разрешении, отчитаться о том, что средства фонда были потрачены только на согласованные мероприятия.</w:t>
      </w:r>
    </w:p>
    <w:p w:rsidR="00E812AF" w:rsidRPr="00E812AF" w:rsidRDefault="00E812AF" w:rsidP="00E812AF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Основной нормативный правовой акт, которым нужно руководствоваться для возмещения расходов на предупредительные меры с 1 января 2025 года — Правила финансового обеспечения, утвержденные </w:t>
      </w:r>
      <w:hyperlink r:id="rId11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11.07.2024 № 347н</w:t>
        </w:r>
      </w:hyperlink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. Приказ Минтруда от 14.07.2021 № 467н с этой даты утрачивает силу.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Давайте разберемся, за какие мероприятия по </w:t>
      </w:r>
      <w:proofErr w:type="gram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ОТ работодатель</w:t>
      </w:r>
      <w:proofErr w:type="gram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может вернуть деньги? Смотрим обновленный документ, а именно </w:t>
      </w: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пункт 2. Финансовому обеспечению за счет сумм страховых взносов подлежат расходы страхователя на следующие предупредительные меры. Учтите,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это утвержденный и ограниченный список, поэтому получить возврат можно только по тем мероприятиям, которые в нем указаны</w:t>
      </w: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а) проведение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(СОУТ);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ОТ;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в) 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следующих категорий работников: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руководитель организации, заместители руководителя организации, руководители филиалов и их заместители, на которых приказом страхователя возложены обязанности по охране труда;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руководители структурных подразделений организации и их заместители, руководители структурных подразделений филиала и их заместители;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работники организации, отнесенные к категории специалисты;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специалисты по охране труда;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работники рабочих профессий;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члены комиссий по проверке знания требований охраны труда, работники, проводящие инструктаж по охране труда и обучение требованиям охраны труда, работник, назначенный на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микропредприятии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работодателем для проведения проверки знания требований охраны труда;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организаций;</w:t>
      </w:r>
    </w:p>
    <w:p w:rsidR="00E812AF" w:rsidRPr="00E812AF" w:rsidRDefault="00E812AF" w:rsidP="00E812AF">
      <w:pPr>
        <w:numPr>
          <w:ilvl w:val="0"/>
          <w:numId w:val="3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отдельные категории работников организаций, непосредственно выполняющих работы повышенной опасности, и работников, ответственных за организацию, выполнение и контроль работ повышенной опасности, подлежащих обязательному обучению по охране труда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объекте;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г) приобретение работникам СИЗ, изготовленных на территории государств — членов ЕЭС, и смывающих средств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 xml:space="preserve">на основании норм бесплатной выдачи СИЗ и смывающих средств, утвержденных ЛНА и разработанных на основании ЕТН выдачи СИЗ и смывающих средств, с учетом результатов </w:t>
      </w:r>
      <w:proofErr w:type="spellStart"/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спецоценки</w:t>
      </w:r>
      <w:proofErr w:type="spellEnd"/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 xml:space="preserve">, результатов оценки </w:t>
      </w:r>
      <w:proofErr w:type="spellStart"/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профрисков</w:t>
      </w:r>
      <w:proofErr w:type="spellEnd"/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, мнения выборного органа первичной профсоюзной организации или иного уполномоченного представительного органа работников (при его наличии)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е) проведение обязательных периодических медицинских осмотров (обследований) работников;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ж) обеспечение лечебно-профилактическим питанием работников, для которых указанное питание предусмотрено перечнем отдельных видов работ, при выполнении которых работникам предоставляется бесплатно лечебно-профилактическое питание по установленным нормам, утвержденным приказом Министерства труда и социальной защиты Российской Федерации от 16 мая 2022 г. № 298н,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с изменениями, внесенными приказом Минтруда от 19.03.2024 г. № 122н, действует до 1 сентября 2028 г.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;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з) приобретение страхователями, работники которых проходят обязательные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предсменные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послесменные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) и (или)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предрейсовые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послерейсовые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веществ в моче,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прошедших процедуру государственной регистрации медицинских изделий и внесенных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и) 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тахографов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);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к) приобретение страхователями аптечек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для оказания работниками первой помощи пострадавшим с применением медицинских изделий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м) приобретение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аудиофиксацию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о) 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п) приобретение приборов, устройств, оборудования (приборы, устройства, оборудование стран — членов ЕЭС, при отсутствии отечественных аналогов —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 </w:t>
      </w: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(приборы, устройства, оборудование стран — членов ЕЭС, при отсутствии отечественных аналогов —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импортозамещения</w:t>
      </w:r>
      <w:proofErr w:type="spellEnd"/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)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обеспечивающих безопасное ведение горных работ, в рамках модернизации основных производств;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р) обеспечение бесплатной выдачи молока или других равноценных пищевых продуктов работникам, занятым на рабочих местах с вредными условиями труда, установленными по результатам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продукты;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с) проведение оценки профессиональных рисков.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spellStart"/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Лайфхак</w:t>
      </w:r>
      <w:proofErr w:type="spellEnd"/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.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Вспомните, как нас учили читать кредитные договоры, мелкий шрифт. Вот и вы обязательно откройте пункт 2 в актуальной версии этого приказа, чтобы видеть ссылки, при этом вспомните, какие страны входят в члены Евразийского экономического союза. </w:t>
      </w:r>
      <w:hyperlink r:id="rId12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Актуальную информацию вы можете уточнить здесь &gt;&gt;&gt;</w:t>
        </w:r>
      </w:hyperlink>
    </w:p>
    <w:p w:rsidR="00E812AF" w:rsidRPr="00E812AF" w:rsidRDefault="00E812AF" w:rsidP="00E812AF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Справка.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 Евразийский экономический союз (ЕЭС) — международная организация региональной экономической интеграции, обладающая международной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правосубъектностью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 учрежденная Договором о Евразийском экономическом союзе. Государствами–членами Евразийского экономического союза являются Республика 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 xml:space="preserve">Армения, Республика Беларусь, Республика Казахстан,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Кыргызская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Республика и Российская Федерация.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66B8F1" wp14:editId="08CA83D6">
            <wp:extent cx="2952750" cy="2057573"/>
            <wp:effectExtent l="0" t="0" r="0" b="0"/>
            <wp:docPr id="3" name="Рисунок 3" descr="https://coko1.ru/wp-content/uploads/2024/06/14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4/06/144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16" cy="206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Также, нужно внимательно относиться к бронированию мест в гостиницах, отправляя сотрудников на санаторно-курортное лечение. Например, вы не сможете получить возмещение средств в том случае, если санаторно-курортное лечение работников, в том числе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предпенсионеров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происходило в номерах высшей категории: «сюит», «апартамент», «люкс», «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джуниор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сюит».</w:t>
      </w:r>
    </w:p>
    <w:p w:rsidR="00E812AF" w:rsidRPr="00E812AF" w:rsidRDefault="00E812AF" w:rsidP="00E812AF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На какую сумму возмещения из СФР может рассчитывать компания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Компания через СФР может вернуть до 20% средств от суммы страховых взносов «на травматизм» уплаченных за прошедший год. Сумму возврата можно увеличить до 30%, если дополнительные средства (сверх 20%) направить на санаторно-курортное лечение работников-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предпенсионеров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(п. 1 Правил, утв. приказом Минтруда от 11.07.2024 № 347н). Если вы знаете сумму, которая была потрачена, например, в 2024 году на охрану труда, и сумму выплат по страховым взносам, то определить размер возмещения вы можете по формуле: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D1A9A1" wp14:editId="13C613BF">
            <wp:extent cx="6076950" cy="1078659"/>
            <wp:effectExtent l="0" t="0" r="0" b="7620"/>
            <wp:docPr id="4" name="Рисунок 4" descr="https://coko1.ru/wp-content/uploads/2024/06/14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4/06/145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777" cy="109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То есть нужно из суммы взносов на страхование от НС и профзаболеваний за предыдущий год вычесть размер выплат по страховым НС и профзаболеваниям за тот же период, после чего умножить полученное число на 20%.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Пример.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  <w:r w:rsidRPr="00E812AF">
        <w:rPr>
          <w:rFonts w:ascii="Formular" w:eastAsia="Times New Roman" w:hAnsi="Formular" w:cs="Times New Roman"/>
          <w:i/>
          <w:iCs/>
          <w:color w:val="000000"/>
          <w:sz w:val="24"/>
          <w:szCs w:val="24"/>
          <w:lang w:eastAsia="ru-RU"/>
        </w:rPr>
        <w:t>За 2024 год взносы на страхование от несчастных случаев и профзаболеваний в вашей компании составили 1 200 000 рублей. А размер выплат 400 000 рублей. Если из первой суммы вычесть вторую, получится 800 000 рублей. Умножаем на 20% и получаем 160 000 рублей. Это и есть та сумма возмещения, которую вы можете получить от СФР за проведенные мероприятия по охране труда в 2025 году.</w:t>
      </w:r>
    </w:p>
    <w:p w:rsidR="00E812AF" w:rsidRPr="00E812AF" w:rsidRDefault="00E812AF" w:rsidP="00E812AF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Как организовать возврат средств из СФР по приказу Минтруда № 347н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Каждый работодатель планирует заранее расходы на охрану труда за счет собственных средств, составляя ежегодный </w:t>
      </w:r>
      <w:hyperlink r:id="rId15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План мероприятий по охране труда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Такое требование содержится в 225 статье ТК РФ. В Плане вы можете указать примерные сведения:</w:t>
      </w:r>
    </w:p>
    <w:p w:rsidR="00E812AF" w:rsidRPr="00E812AF" w:rsidRDefault="00E812AF" w:rsidP="00E812AF">
      <w:pPr>
        <w:numPr>
          <w:ilvl w:val="0"/>
          <w:numId w:val="4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наименование мероприятий по охране труда;</w:t>
      </w:r>
    </w:p>
    <w:p w:rsidR="00E812AF" w:rsidRPr="00E812AF" w:rsidRDefault="00E812AF" w:rsidP="00E812AF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ожидаемый результат по каждому мероприятию;</w:t>
      </w:r>
    </w:p>
    <w:p w:rsidR="00E812AF" w:rsidRPr="00E812AF" w:rsidRDefault="00E812AF" w:rsidP="00E812AF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сроки реализации по каждому мероприятию;</w:t>
      </w:r>
    </w:p>
    <w:p w:rsidR="00E812AF" w:rsidRPr="00E812AF" w:rsidRDefault="00E812AF" w:rsidP="00E812AF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ответственные лица за реализацию мероприятий;</w:t>
      </w:r>
    </w:p>
    <w:p w:rsidR="00E812AF" w:rsidRPr="00E812AF" w:rsidRDefault="00E812AF" w:rsidP="00E812AF">
      <w:pPr>
        <w:numPr>
          <w:ilvl w:val="0"/>
          <w:numId w:val="4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выделяемые ресурсы и источники финансирования мероприятий.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 составлении Плана мероприятий по охране труда организации работодатель вправе руководствоваться примерным перечнем мероприятий по улучшению условий и охраны труда и снижению уровней профессиональных рисков. Этот перечень утвержден </w:t>
      </w:r>
      <w:hyperlink r:id="rId16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29.10.2021 № 771н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Чтобы получить деньги из средств СФР, то есть оформить возврат части потраченных из бюджета денег на охрану труда, нужно соблюдать следующий простой алгоритм.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Пошаговый алгоритм: финансовое обеспечение предупредительных мер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8074"/>
      </w:tblGrid>
      <w:tr w:rsidR="00E812AF" w:rsidRPr="00E812AF" w:rsidTr="00E812AF">
        <w:trPr>
          <w:trHeight w:val="2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Шаг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суммы возмещения и планирование затрат</w:t>
            </w:r>
          </w:p>
        </w:tc>
      </w:tr>
      <w:tr w:rsidR="00E812AF" w:rsidRPr="00E812AF" w:rsidTr="00E812AF">
        <w:trPr>
          <w:trHeight w:val="2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Шаг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 </w:t>
            </w:r>
            <w:r w:rsidRPr="00E8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заявления на финансовое обеспечение в СФР — </w:t>
            </w:r>
            <w:r w:rsidRPr="00E812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 августа</w:t>
            </w:r>
          </w:p>
        </w:tc>
      </w:tr>
      <w:tr w:rsidR="00E812AF" w:rsidRPr="00E812AF" w:rsidTr="00E812AF">
        <w:trPr>
          <w:trHeight w:val="2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Шаг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согласования от Социального фонда России</w:t>
            </w:r>
          </w:p>
        </w:tc>
      </w:tr>
      <w:tr w:rsidR="00E812AF" w:rsidRPr="00E812AF" w:rsidTr="00E812AF">
        <w:trPr>
          <w:trHeight w:val="2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Шаг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необходимого для охраны труда за счет компании</w:t>
            </w:r>
          </w:p>
        </w:tc>
      </w:tr>
      <w:tr w:rsidR="00E812AF" w:rsidRPr="00E812AF" w:rsidTr="00E812AF">
        <w:trPr>
          <w:trHeight w:val="2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Шаг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 </w:t>
            </w:r>
            <w:r w:rsidRPr="00E8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заявления в СФР на возмещение — </w:t>
            </w:r>
            <w:r w:rsidRPr="00E812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15 ноября</w:t>
            </w:r>
          </w:p>
        </w:tc>
      </w:tr>
      <w:tr w:rsidR="00E812AF" w:rsidRPr="00E812AF" w:rsidTr="00E812AF">
        <w:trPr>
          <w:trHeight w:val="2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Шаг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средств от Социального фонда России</w:t>
            </w:r>
          </w:p>
        </w:tc>
      </w:tr>
      <w:tr w:rsidR="00E812AF" w:rsidRPr="00E812AF" w:rsidTr="00E812AF">
        <w:trPr>
          <w:trHeight w:val="28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Шаг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Фонду о целевом расходовании средств</w:t>
            </w:r>
          </w:p>
        </w:tc>
      </w:tr>
    </w:tbl>
    <w:p w:rsidR="00E812AF" w:rsidRPr="00E812AF" w:rsidRDefault="00E812AF" w:rsidP="00E812AF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lastRenderedPageBreak/>
        <w:t>Шаг 1. Рассчитайте сумму возмещения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Уточните у бухгалтера компании точную сумму взносов на охрану труда, которая была уплачена за предыдущий год. Также рекомендуем обратиться территориальное отделение СФР, чтобы уточнить сумму взносов по данным СФР, которая подлежит возмещению.</w:t>
      </w:r>
    </w:p>
    <w:p w:rsidR="00E812AF" w:rsidRPr="00E812AF" w:rsidRDefault="00E812AF" w:rsidP="00E812AF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Шаг 2. Определите, какие мероприятия планируете возмещать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Как только вы уточнили сумму, которую вам может возместить СФР, внимательно изучите ваш план мероприятий по охране труда. Выберите те из них, которые вам выгоднее всего возместить. Например, </w:t>
      </w:r>
      <w:proofErr w:type="spell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спецоценку</w:t>
      </w:r>
      <w:proofErr w:type="spell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особенно если вы ее массово проводили, например, запуская новые производственные цеха. Или закупку новых СИЗ с учетом ЕТН и т.д. Помните, что их общая сумма не должна превышать ту, которую вы уточнили в СФР.</w:t>
      </w:r>
    </w:p>
    <w:p w:rsidR="00E812AF" w:rsidRPr="00E812AF" w:rsidRDefault="00E812AF" w:rsidP="00E812AF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Шаг 3. Подайте заявление о финансовом обеспечении и План в СФР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Далее в срок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до 1 августа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вам нужно направить заявление и план финансового обеспечения предупредительных мер в отделение СФР по месту регистрации компании. Рекомендуемый образец плана вы можете найти в приложении к </w:t>
      </w:r>
      <w:hyperlink r:id="rId17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приказу Минтруда от 11.07.2024 № 347н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F65422E" wp14:editId="4A30CE22">
            <wp:extent cx="5105400" cy="3530443"/>
            <wp:effectExtent l="0" t="0" r="0" b="0"/>
            <wp:docPr id="5" name="Рисунок 5" descr="https://coko1.ru/wp-content/uploads/2024/06/1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ko1.ru/wp-content/uploads/2024/06/146-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394" cy="356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Не забудьте заверить план финансового обеспечения у руководителя компании, главного бухгалтера, а также согласуйте с председателем первичной профсоюзной организации, если таковая у вас есть. Заявление можно подавать на бумажном носителе либо в форме электронного документа (п. 4 Правил, утв. </w:t>
      </w:r>
      <w:hyperlink r:id="rId19" w:history="1">
        <w:r w:rsidRPr="00E812AF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приказом Минтруда от 11.07.2024 № 347н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).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Способы подачи документов на возмещение средств из СФР: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➤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.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Распечатайте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принесите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СФР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➤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Почтовое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.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Распечатайте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менты и направьте их в территориальный орган СФР по месту регистрации. Сопроводите письмо описью и отправьте с уведомлением. Так вы сможете подтвердить факт и дату отправления.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➤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hyperlink r:id="rId20" w:history="1">
        <w:r w:rsidRPr="00E812AF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 xml:space="preserve"> Единый портал </w:t>
        </w:r>
        <w:proofErr w:type="spellStart"/>
        <w:r w:rsidRPr="00E812AF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Документы отправьте в электронной форме.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➤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  <w:r w:rsidRPr="00E81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Важно!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Форма заявления о финансовом обеспечении предупредительных мер меняется. Новый образец утвержден в </w:t>
      </w:r>
      <w:hyperlink r:id="rId21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новом Административном регламенте СФР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о «Принятие решения о финансовом обеспечении» (АР ФОМП), утв. приказом СФР от 11.03.2025 № 278.</w:t>
      </w:r>
    </w:p>
    <w:p w:rsidR="00E812AF" w:rsidRPr="00E812AF" w:rsidRDefault="00E812AF" w:rsidP="00E812AF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noProof/>
          <w:color w:val="000000"/>
          <w:sz w:val="42"/>
          <w:szCs w:val="42"/>
          <w:lang w:eastAsia="ru-RU"/>
        </w:rPr>
        <w:lastRenderedPageBreak/>
        <w:drawing>
          <wp:inline distT="0" distB="0" distL="0" distR="0" wp14:anchorId="4AA8BD7F" wp14:editId="4753A433">
            <wp:extent cx="6354903" cy="2571750"/>
            <wp:effectExtent l="0" t="0" r="8255" b="0"/>
            <wp:docPr id="6" name="Рисунок 6" descr="https://coko1.ru/wp-content/uploads/2024/06/14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ko1.ru/wp-content/uploads/2024/06/147-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05" cy="257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Обратите внимание, что кроме заявления и плана, необходимо направить в СФР пакет документов (копии). Например, если вы планируете получить возмещение предупредительных мер, предусмотренных подпунктом «п» пункта 2 Правил, утв. </w:t>
      </w:r>
      <w:hyperlink r:id="rId23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11.07.2024 № 347н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нужно предоставить:</w:t>
      </w:r>
    </w:p>
    <w:p w:rsidR="00E812AF" w:rsidRPr="00E812AF" w:rsidRDefault="00E812AF" w:rsidP="00E812AF">
      <w:pPr>
        <w:numPr>
          <w:ilvl w:val="0"/>
          <w:numId w:val="5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копии документов, обосновывающих приобретение приборов, устройств, оборудования, обеспечивающих безопасное ведение горных работ, в рамках модернизации основных производств;</w:t>
      </w:r>
    </w:p>
    <w:p w:rsidR="00E812AF" w:rsidRPr="00E812AF" w:rsidRDefault="00E812AF" w:rsidP="00E812AF">
      <w:pPr>
        <w:numPr>
          <w:ilvl w:val="0"/>
          <w:numId w:val="5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копии (выписки из) технических проектов и (или) проектной документации, которыми предусмотрено приобретение соответствующих приборов, устройств, оборудования.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Учтите, что все копии документов, прилагаемых к заявлению, должны быть заверены печатью компании (при ее наличии).</w:t>
      </w:r>
    </w:p>
    <w:p w:rsidR="00E812AF" w:rsidRPr="00E812AF" w:rsidRDefault="00E812AF" w:rsidP="00E812AF">
      <w:pPr>
        <w:shd w:val="clear" w:color="auto" w:fill="FFFFFF"/>
        <w:spacing w:before="960" w:after="480" w:line="510" w:lineRule="atLeast"/>
        <w:outlineLvl w:val="2"/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2"/>
          <w:szCs w:val="42"/>
          <w:lang w:eastAsia="ru-RU"/>
        </w:rPr>
        <w:t>Шаг 4. Подайте заявление о возмещении расходов в СФР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Заявление на возмещение необходимо подать </w:t>
      </w:r>
      <w:r w:rsidRPr="00E812AF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до 15 ноября</w:t>
      </w: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Форму заявления вы также можете найти в </w:t>
      </w:r>
      <w:hyperlink r:id="rId24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новом Административном регламенте СФР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о «Принятие решения о финансовом обеспечении» (АР ФОМП), утв. приказом СФР от 11.03.2025 № 278.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67A825C" wp14:editId="74B8C579">
            <wp:extent cx="6363688" cy="3667125"/>
            <wp:effectExtent l="0" t="0" r="0" b="0"/>
            <wp:docPr id="7" name="Рисунок 7" descr="https://coko1.ru/wp-content/uploads/2024/06/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ko1.ru/wp-content/uploads/2024/06/14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99" cy="367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Заявление и документы (копии) вы можете подать на бумажном носителе либо в форме электронного документа (п. 9 Правил, утв. </w:t>
      </w:r>
      <w:hyperlink r:id="rId26" w:history="1">
        <w:r w:rsidRPr="00E812AF">
          <w:rPr>
            <w:rFonts w:ascii="Formular" w:eastAsia="Times New Roman" w:hAnsi="Formular" w:cs="Times New Roman"/>
            <w:color w:val="1990FE"/>
            <w:sz w:val="24"/>
            <w:szCs w:val="24"/>
            <w:u w:val="single"/>
            <w:lang w:eastAsia="ru-RU"/>
          </w:rPr>
          <w:t>приказом Минтруда от 11.07.2024 № 347н</w:t>
        </w:r>
      </w:hyperlink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).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Рекомендуем заранее формировать пакет документов, который будет необходим, </w:t>
      </w:r>
      <w:proofErr w:type="gramStart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чтобы  обосновать</w:t>
      </w:r>
      <w:proofErr w:type="gramEnd"/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финансовое обеспечение предупредительных мер. Не откладывайте этот вопрос на последние дни.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 заявлению о возмещении расходов необходимо приложить документы (копии документов):</w:t>
      </w:r>
    </w:p>
    <w:p w:rsidR="00E812AF" w:rsidRPr="00E812AF" w:rsidRDefault="00E812AF" w:rsidP="00E812AF">
      <w:pPr>
        <w:numPr>
          <w:ilvl w:val="0"/>
          <w:numId w:val="6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отчет о произведенных расходах на финансовое обеспечение предупредительных мер в текущем календарном году;</w:t>
      </w:r>
    </w:p>
    <w:p w:rsidR="00E812AF" w:rsidRPr="00E812AF" w:rsidRDefault="00E812AF" w:rsidP="00E812AF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копия (выписка из) локального нормативного акта о реализуемых страхователем мероприятиях по улучшению условий и охраны труда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E812AF" w:rsidRPr="00E812AF" w:rsidRDefault="00E812AF" w:rsidP="00E812AF">
      <w:pPr>
        <w:numPr>
          <w:ilvl w:val="0"/>
          <w:numId w:val="6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платежные документы, подтверждающие оплату товаров (работ, услуг), и документы, подтверждающие их приобретение (выполнение).</w:t>
      </w:r>
    </w:p>
    <w:p w:rsidR="00E812AF" w:rsidRPr="00E812AF" w:rsidRDefault="00E812AF" w:rsidP="00E812AF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lastRenderedPageBreak/>
        <w:t>Составили таблицу со списком документов для обоснования произведенных расходов, которые необходимо предоставить в СФР вместе с заявлением о возмещении расходов (п. 11 Правил, утв. </w:t>
      </w:r>
      <w:hyperlink r:id="rId27" w:history="1">
        <w:r w:rsidRPr="00E812AF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от 11.07.2024 № 347н</w:t>
        </w:r>
      </w:hyperlink>
      <w:r w:rsidRPr="00E812AF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9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390"/>
      </w:tblGrid>
      <w:tr w:rsidR="00E812AF" w:rsidRPr="00E812AF" w:rsidTr="00E812AF">
        <w:trPr>
          <w:trHeight w:val="2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Заявленные расходы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A54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12AF" w:rsidRPr="00E812AF" w:rsidRDefault="00E812AF" w:rsidP="00E8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документы подготовить</w:t>
            </w:r>
          </w:p>
        </w:tc>
      </w:tr>
      <w:tr w:rsidR="00E812AF" w:rsidRPr="00E812AF" w:rsidTr="00E812AF">
        <w:trPr>
          <w:trHeight w:val="16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спецоценки</w:t>
            </w:r>
            <w:proofErr w:type="spellEnd"/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(СОУТ)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договора с организацией, проводившей специальную оценку условий труда, с указанием идентификационного номера отчета о проведении специальной оценки условий труда, количества рабочих мест, в отношении которых проведена специальная оценка условий труда, и стоимости проведения специальной оценки условий труда на указанном количестве рабочих мест</w:t>
            </w:r>
          </w:p>
        </w:tc>
      </w:tr>
      <w:tr w:rsidR="00E812AF" w:rsidRPr="00E812AF" w:rsidTr="00E812AF">
        <w:trPr>
          <w:trHeight w:val="37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2AF" w:rsidRPr="00E812AF" w:rsidRDefault="00E812AF" w:rsidP="00E812A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ЛНА о направлении работников на обучение по охране труда и (или) на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работы;</w:t>
            </w:r>
          </w:p>
          <w:p w:rsidR="00E812AF" w:rsidRPr="00E812AF" w:rsidRDefault="00E812AF" w:rsidP="00E812AF">
            <w:pPr>
              <w:numPr>
                <w:ilvl w:val="0"/>
                <w:numId w:val="7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договора на проведение обучения работодателей и работников по охране труда с организацией или с индивидуальным предпринимателем, в случае направления работников на обучение по охране труда в обучающую организацию;</w:t>
            </w:r>
          </w:p>
          <w:p w:rsidR="00E812AF" w:rsidRPr="00E812AF" w:rsidRDefault="00E812AF" w:rsidP="00E812AF">
            <w:pPr>
              <w:numPr>
                <w:ilvl w:val="0"/>
                <w:numId w:val="7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работников, направленных на обучение по охране труда и документы, подтверждающие принадлежность указанных в нем работников к той или иной категории</w:t>
            </w:r>
          </w:p>
        </w:tc>
      </w:tr>
      <w:tr w:rsidR="00E812AF" w:rsidRPr="00E812AF" w:rsidTr="00E812AF">
        <w:trPr>
          <w:trHeight w:val="631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санаторно-курортное лечение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812AF" w:rsidRPr="00E812AF" w:rsidRDefault="00E812AF" w:rsidP="00E812AF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акт по итогам проведения обязательных периодических медицинских осмотров (обследований) работников;</w:t>
            </w:r>
          </w:p>
          <w:p w:rsidR="00E812AF" w:rsidRPr="00E812AF" w:rsidRDefault="00E812AF" w:rsidP="00E812AF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работников, направленных на санаторно-курортное лечение, с указанием рекомендаций, содержащихся в заключительном акте;</w:t>
            </w:r>
          </w:p>
          <w:p w:rsidR="00E812AF" w:rsidRPr="00E812AF" w:rsidRDefault="00E812AF" w:rsidP="00E812AF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договоров с организацией, осуществляющей санаторно-курортное лечение работников, и (или) счетов на приобретение путевок (в случае если организация, осуществляющая санаторно-курортное лечение работников, является структурным подразделением страхователя, — копию положения о данном структурном подразделении страхователя и копию локального нормативного акта страхователя об организации санаторно-курортного лечения работников).</w:t>
            </w:r>
          </w:p>
          <w:p w:rsidR="00E812AF" w:rsidRPr="00E812AF" w:rsidRDefault="00E812AF" w:rsidP="00E812AF">
            <w:pPr>
              <w:numPr>
                <w:ilvl w:val="0"/>
                <w:numId w:val="8"/>
              </w:numPr>
              <w:spacing w:before="225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калькуляции стоимости путевки</w:t>
            </w:r>
          </w:p>
          <w:p w:rsidR="00E812AF" w:rsidRPr="00E812AF" w:rsidRDefault="00E812AF" w:rsidP="00E81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привлечения сторонней организации (агента) к организации проведения санаторно-курортного лечения работников </w:t>
            </w:r>
            <w:r w:rsidRPr="00E812A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дополнительно предоставляется копия договора, заключенного страхователем с такой организацией (агентом), с указанием размера агентского вознаграждения, иной платы за посреднические услуги и (или) наценки, устанавливаемой агентом…</w:t>
            </w:r>
          </w:p>
          <w:p w:rsidR="00E812AF" w:rsidRPr="00E812AF" w:rsidRDefault="00E812AF" w:rsidP="00E812AF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:rsidR="00E812AF" w:rsidRPr="00E812AF" w:rsidRDefault="00E812AF" w:rsidP="00E812AF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E812AF"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  <w:t>Когда Социальный фонд России откажет в возмещении средств: примеры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После того, как СФР примет от вас заявление на возмещение, проверит предоставленные документы, сотрудники фонда принимают решение о финансовом обеспечении, или отказывают в нем. Отрицательное решение может быть, если:</w:t>
      </w:r>
    </w:p>
    <w:p w:rsidR="00E812AF" w:rsidRPr="00E812AF" w:rsidRDefault="00E812AF" w:rsidP="00E812AF">
      <w:pPr>
        <w:numPr>
          <w:ilvl w:val="0"/>
          <w:numId w:val="9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на день подачи заявления есть долги в Фонде;</w:t>
      </w:r>
    </w:p>
    <w:p w:rsidR="00E812AF" w:rsidRPr="00E812AF" w:rsidRDefault="00E812AF" w:rsidP="00E812AF">
      <w:pPr>
        <w:numPr>
          <w:ilvl w:val="0"/>
          <w:numId w:val="9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ваши поданные документы поддельные;</w:t>
      </w:r>
    </w:p>
    <w:p w:rsidR="00E812AF" w:rsidRPr="00E812AF" w:rsidRDefault="00E812AF" w:rsidP="00E812AF">
      <w:pPr>
        <w:numPr>
          <w:ilvl w:val="0"/>
          <w:numId w:val="9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денежки у Фонда уже кончились;</w:t>
      </w:r>
    </w:p>
    <w:p w:rsidR="00E812AF" w:rsidRPr="00E812AF" w:rsidRDefault="00E812AF" w:rsidP="00E812AF">
      <w:pPr>
        <w:numPr>
          <w:ilvl w:val="0"/>
          <w:numId w:val="9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вы подали не полный комплект.</w:t>
      </w:r>
    </w:p>
    <w:p w:rsidR="00E812AF" w:rsidRPr="00E812AF" w:rsidRDefault="00E812AF" w:rsidP="00E812AF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E812AF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Рекомендация от эксперта. Специалистам по охране труда лучше подавать заявление заранее, а не ждать 1 августа, например, сделать это в июне. Для этого мероприятия по охране труда, которые вы хотите возместить в СФР, запланируйте не на август или декабрь, а на первое полугодие — январь-июнь. В этой ситуации у вас будет время для того, чтобы переделать документы, исправить ошибки и подать заявление заново. Только в том случае, если деньги фонда были уже распределены, можно оставить попытки, но извлечь из этого урок: не тянуть!</w:t>
      </w:r>
    </w:p>
    <w:p w:rsidR="007D599A" w:rsidRDefault="007D599A"/>
    <w:sectPr w:rsidR="007D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63FBB"/>
    <w:multiLevelType w:val="multilevel"/>
    <w:tmpl w:val="647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97F7A"/>
    <w:multiLevelType w:val="multilevel"/>
    <w:tmpl w:val="7D8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815B4"/>
    <w:multiLevelType w:val="multilevel"/>
    <w:tmpl w:val="AFC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85E7A"/>
    <w:multiLevelType w:val="multilevel"/>
    <w:tmpl w:val="5348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E6950"/>
    <w:multiLevelType w:val="multilevel"/>
    <w:tmpl w:val="DAB4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05C1C"/>
    <w:multiLevelType w:val="multilevel"/>
    <w:tmpl w:val="BE2A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91615"/>
    <w:multiLevelType w:val="multilevel"/>
    <w:tmpl w:val="D5C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40B8E"/>
    <w:multiLevelType w:val="multilevel"/>
    <w:tmpl w:val="E4F4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943D7"/>
    <w:multiLevelType w:val="multilevel"/>
    <w:tmpl w:val="A3D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AF"/>
    <w:rsid w:val="007D599A"/>
    <w:rsid w:val="00E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FEC46-F6A8-4085-8252-8EC8314B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1187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4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743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71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39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90163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039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5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24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5639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7388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290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769442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800861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960990010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992562930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787371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60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504100008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hyperlink" Target="http://publication.pravo.gov.ru/Document/View/0001202109080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0001202504100008" TargetMode="External"/><Relationship Id="rId7" Type="http://schemas.openxmlformats.org/officeDocument/2006/relationships/hyperlink" Target="http://publication.pravo.gov.ru/Document/View/0001202109080041" TargetMode="External"/><Relationship Id="rId12" Type="http://schemas.openxmlformats.org/officeDocument/2006/relationships/hyperlink" Target="https://www.eaeunion.org/" TargetMode="External"/><Relationship Id="rId17" Type="http://schemas.openxmlformats.org/officeDocument/2006/relationships/hyperlink" Target="http://publication.pravo.gov.ru/Document/View/0001202109080041" TargetMode="External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112030061" TargetMode="External"/><Relationship Id="rId20" Type="http://schemas.openxmlformats.org/officeDocument/2006/relationships/hyperlink" Target="http://www.gosuslugi.ru.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9080041" TargetMode="External"/><Relationship Id="rId11" Type="http://schemas.openxmlformats.org/officeDocument/2006/relationships/hyperlink" Target="http://publication.pravo.gov.ru/Document/View/0001202109080041" TargetMode="External"/><Relationship Id="rId24" Type="http://schemas.openxmlformats.org/officeDocument/2006/relationships/hyperlink" Target="http://publication.pravo.gov.ru/document/00012025041000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ko1.ru/articles/protection/plan-meropriyatij-po-ohrane-truda-kto-sostavlyaet-i-chto-v-nego-vkljuchit/" TargetMode="External"/><Relationship Id="rId23" Type="http://schemas.openxmlformats.org/officeDocument/2006/relationships/hyperlink" Target="http://publication.pravo.gov.ru/Document/View/000120210908004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fr.gov.ru/branches/yaroslavl/info/~2023/01/18/8555" TargetMode="External"/><Relationship Id="rId19" Type="http://schemas.openxmlformats.org/officeDocument/2006/relationships/hyperlink" Target="http://publication.pravo.gov.ru/Document/View/000120210908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9080041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hyperlink" Target="http://publication.pravo.gov.ru/Document/View/000120210908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2025-04-29T06:56:00Z</dcterms:created>
  <dcterms:modified xsi:type="dcterms:W3CDTF">2025-04-29T07:00:00Z</dcterms:modified>
</cp:coreProperties>
</file>