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Прокурор разъясняет: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опросы получения образования детьми-мигрантами</w:t>
      </w:r>
    </w:p>
    <w:p w14:paraId="09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bookmarkStart w:id="3" w:name="sub_5003"/>
      <w:r>
        <w:rPr>
          <w:rFonts w:ascii="Times New Roman" w:hAnsi="Times New Roman"/>
          <w:sz w:val="26"/>
        </w:rPr>
        <w:t>Согласно положениям Конституции РФ, Федерального закона от 29.12.2012 №273-ФЗ «Об образовании в Российской Федерации» дети-мигранты обладают равными с гражданами Российской Федерации правами на получение дошкольного, начального общего, основного общего и среднего общего и среднего профессионального образования на общедоступной и бесплатной основе на общедоступной и бесплатной основе на русском языке.</w:t>
      </w:r>
    </w:p>
    <w:p w14:paraId="0B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r>
        <w:rPr>
          <w:rFonts w:ascii="Times New Roman" w:hAnsi="Times New Roman"/>
          <w:sz w:val="26"/>
        </w:rPr>
        <w:t>Законный представитель ребенка, являющегося иностранным гражданином или лицом без гражданства, для поступления ребенка в Российскую школу или детский сад обязан предъявить на русском языке или вместе с заверенным переводом на русский язык копии документов, предоставляемых в этих целях по общему правилу:</w:t>
      </w:r>
      <w:r>
        <w:rPr>
          <w:sz w:val="28"/>
        </w:rPr>
        <w:t xml:space="preserve"> </w:t>
      </w:r>
      <w:r>
        <w:rPr>
          <w:rFonts w:ascii="Times New Roman" w:hAnsi="Times New Roman"/>
          <w:sz w:val="26"/>
        </w:rPr>
        <w:t>документа, удостоверяющего личность законного представителя ребенка;</w:t>
      </w:r>
      <w:r>
        <w:rPr>
          <w:rFonts w:ascii="Times New Roman" w:hAnsi="Times New Roman"/>
          <w:sz w:val="26"/>
        </w:rPr>
        <w:t xml:space="preserve"> свидетельства о рождении ребенка или документа, подтверждающего родство заявителя (или законность представления прав ребенка);</w:t>
      </w:r>
      <w:r>
        <w:rPr>
          <w:rFonts w:ascii="Times New Roman" w:hAnsi="Times New Roman"/>
          <w:sz w:val="26"/>
        </w:rPr>
        <w:t xml:space="preserve"> документа о регистрации ребенка или поступающего по месту жительства или по месту пребывания на закрепленной территории;</w:t>
      </w:r>
      <w:r>
        <w:rPr>
          <w:sz w:val="28"/>
        </w:rPr>
        <w:t xml:space="preserve"> </w:t>
      </w:r>
      <w:r>
        <w:rPr>
          <w:rFonts w:ascii="Times New Roman" w:hAnsi="Times New Roman"/>
          <w:sz w:val="26"/>
        </w:rPr>
        <w:t>дополнительные документы, подтверждающие право ребенка на пребывание в Российской Федерации.</w:t>
      </w:r>
    </w:p>
    <w:p w14:paraId="0C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Дети мигрантов являются обучающимися с особыми образовательными потребностями, в связи с чем, к задачам образовательной организации при организации их обучения относятся: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формирование доброжелательного отношения к обучающимся и их семьям со стороны всех участников образовательных отношений; построение воспитательной деятельности с учетом индивидуальных особенностей и возможностей каждого обучающегося.</w:t>
      </w:r>
    </w:p>
    <w:p w14:paraId="0D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эффективной языковой и социально-культурной адаптации детей мигрантов в рамках их обучения, с учетом рекомендаций Минпросвещения России, при необходимости, образовательными учреждениями разрабатываются индивидуальные учебные планы, обеспечиваются их специальная психолого-педагогическая поддержка и педагогическое сопровождение.</w:t>
      </w:r>
    </w:p>
    <w:p w14:paraId="0E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bookmarkEnd w:id="3"/>
    </w:p>
    <w:p w14:paraId="0F000000">
      <w:pPr>
        <w:widowControl w:val="1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(</w:t>
      </w:r>
      <w:r>
        <w:rPr>
          <w:rFonts w:ascii="Times New Roman" w:hAnsi="Times New Roman"/>
          <w:b w:val="1"/>
          <w:sz w:val="26"/>
        </w:rPr>
        <w:t>Информацию предоставил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помощник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прокурор</w:t>
      </w:r>
      <w:r>
        <w:rPr>
          <w:rFonts w:ascii="Times New Roman" w:hAnsi="Times New Roman"/>
          <w:b w:val="1"/>
          <w:sz w:val="26"/>
        </w:rPr>
        <w:t>а</w:t>
      </w:r>
      <w:r>
        <w:rPr>
          <w:rFonts w:ascii="Times New Roman" w:hAnsi="Times New Roman"/>
          <w:b w:val="1"/>
          <w:sz w:val="26"/>
        </w:rPr>
        <w:t xml:space="preserve"> района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Андрей Перунов</w:t>
      </w:r>
      <w:r>
        <w:rPr>
          <w:rFonts w:ascii="Times New Roman" w:hAnsi="Times New Roman"/>
          <w:b w:val="1"/>
          <w:sz w:val="26"/>
        </w:rPr>
        <w:t>)</w:t>
      </w:r>
    </w:p>
    <w:p w14:paraId="10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телефон: </w:t>
      </w:r>
      <w:r>
        <w:rPr>
          <w:rFonts w:ascii="Times New Roman" w:hAnsi="Times New Roman"/>
          <w:sz w:val="26"/>
        </w:rPr>
        <w:t>8-9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4-</w:t>
      </w:r>
      <w:r>
        <w:rPr>
          <w:rFonts w:ascii="Times New Roman" w:hAnsi="Times New Roman"/>
          <w:sz w:val="26"/>
        </w:rPr>
        <w:t>294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99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5</w:t>
      </w:r>
    </w:p>
    <w:p w14:paraId="1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  <w:caps w:val="1"/>
          <w:sz w:val="26"/>
        </w:rPr>
      </w:pPr>
      <w:r>
        <w:rPr>
          <w:rFonts w:ascii="Times New Roman" w:hAnsi="Times New Roman"/>
          <w:caps w:val="1"/>
          <w:sz w:val="26"/>
        </w:rPr>
        <w:t>Согласовано</w:t>
      </w:r>
    </w:p>
    <w:p w14:paraId="1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4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Прокурор района </w:t>
            </w:r>
          </w:p>
          <w:p w14:paraId="15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6"/>
              </w:rPr>
            </w:pPr>
          </w:p>
          <w:p w14:paraId="16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7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8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В.П. Дукарт</w:t>
            </w:r>
          </w:p>
        </w:tc>
      </w:tr>
    </w:tbl>
    <w:p w14:paraId="19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B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1C000000">
      <w:pPr>
        <w:rPr>
          <w:rFonts w:ascii="Times New Roman" w:hAnsi="Times New Roman"/>
          <w:sz w:val="28"/>
        </w:rPr>
      </w:pPr>
      <w:bookmarkStart w:id="5" w:name="_GoBack"/>
      <w:bookmarkEnd w:id="5"/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09.06.2025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widowControl w:val="1"/>
      <w:spacing w:after="60"/>
      <w:ind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5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текст1"/>
    <w:basedOn w:val="Style_6"/>
    <w:link w:val="Style_13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13_ch" w:type="character">
    <w:name w:val="Основной текст1"/>
    <w:basedOn w:val="Style_6_ch"/>
    <w:link w:val="Style_13"/>
    <w:rPr>
      <w:rFonts w:ascii="Times New Roman" w:hAnsi="Times New Roman"/>
      <w:sz w:val="27"/>
    </w:rPr>
  </w:style>
  <w:style w:styleId="Style_14" w:type="paragraph">
    <w:name w:val="toc 3"/>
    <w:next w:val="Style_6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6_ch"/>
    <w:link w:val="Style_15"/>
    <w:rPr>
      <w:rFonts w:ascii="Segoe UI" w:hAnsi="Segoe UI"/>
      <w:sz w:val="18"/>
    </w:rPr>
  </w:style>
  <w:style w:styleId="Style_16" w:type="paragraph">
    <w:name w:val="heading 5"/>
    <w:next w:val="Style_6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head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6_ch"/>
    <w:link w:val="Style_3"/>
  </w:style>
  <w:style w:styleId="Style_17" w:type="paragraph">
    <w:name w:val="heading 1"/>
    <w:next w:val="Style_6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List Paragraph"/>
    <w:basedOn w:val="Style_6"/>
    <w:link w:val="Style_22_ch"/>
    <w:pPr>
      <w:widowControl w:val="1"/>
      <w:ind w:left="720"/>
      <w:contextualSpacing w:val="1"/>
    </w:pPr>
  </w:style>
  <w:style w:styleId="Style_22_ch" w:type="character">
    <w:name w:val="List Paragraph"/>
    <w:basedOn w:val="Style_6_ch"/>
    <w:link w:val="Style_22"/>
  </w:style>
  <w:style w:styleId="Style_23" w:type="paragraph">
    <w:name w:val="toc 9"/>
    <w:next w:val="Style_6"/>
    <w:link w:val="Style_23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8"/>
    <w:next w:val="Style_6"/>
    <w:link w:val="Style_25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Основной текст + 13 pt"/>
    <w:basedOn w:val="Style_13"/>
    <w:link w:val="Style_26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6_ch" w:type="character">
    <w:name w:val="Основной текст + 13 pt"/>
    <w:basedOn w:val="Style_13_ch"/>
    <w:link w:val="Style_26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7" w:type="paragraph">
    <w:name w:val="toc 5"/>
    <w:next w:val="Style_6"/>
    <w:link w:val="Style_2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2025-06-09T02:03:23Z</dcterms:modified>
</cp:coreProperties>
</file>