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B2C" w:rsidRPr="00425B2C" w:rsidRDefault="00425B2C" w:rsidP="00425B2C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color w:val="FFFFFF"/>
          <w:kern w:val="36"/>
          <w:sz w:val="48"/>
          <w:szCs w:val="48"/>
          <w:lang w:eastAsia="ru-RU"/>
        </w:rPr>
      </w:pPr>
      <w:bookmarkStart w:id="0" w:name="_GoBack"/>
      <w:r w:rsidRPr="00425B2C">
        <w:rPr>
          <w:rFonts w:ascii="Arial" w:eastAsia="Times New Roman" w:hAnsi="Arial" w:cs="Arial"/>
          <w:color w:val="FFFFFF"/>
          <w:kern w:val="36"/>
          <w:sz w:val="48"/>
          <w:szCs w:val="48"/>
          <w:lang w:eastAsia="ru-RU"/>
        </w:rPr>
        <w:t xml:space="preserve">Несвоевременное информирование о </w:t>
      </w:r>
      <w:proofErr w:type="spellStart"/>
      <w:r w:rsidRPr="00425B2C">
        <w:rPr>
          <w:rFonts w:ascii="Arial" w:eastAsia="Times New Roman" w:hAnsi="Arial" w:cs="Arial"/>
          <w:color w:val="FFFFFF"/>
          <w:kern w:val="36"/>
          <w:sz w:val="48"/>
          <w:szCs w:val="48"/>
          <w:lang w:eastAsia="ru-RU"/>
        </w:rPr>
        <w:t>профрисках</w:t>
      </w:r>
      <w:proofErr w:type="spellEnd"/>
      <w:r w:rsidRPr="00425B2C">
        <w:rPr>
          <w:rFonts w:ascii="Arial" w:eastAsia="Times New Roman" w:hAnsi="Arial" w:cs="Arial"/>
          <w:color w:val="FFFFFF"/>
          <w:kern w:val="36"/>
          <w:sz w:val="48"/>
          <w:szCs w:val="48"/>
          <w:lang w:eastAsia="ru-RU"/>
        </w:rPr>
        <w:t xml:space="preserve"> обернулось компенсацией</w:t>
      </w:r>
    </w:p>
    <w:bookmarkEnd w:id="0"/>
    <w:p w:rsidR="00425B2C" w:rsidRDefault="00425B2C" w:rsidP="00425B2C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</w:p>
    <w:p w:rsidR="00425B2C" w:rsidRDefault="00425B2C" w:rsidP="00425B2C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3983424" wp14:editId="38B398A6">
                <wp:extent cx="304800" cy="304800"/>
                <wp:effectExtent l="0" t="0" r="0" b="0"/>
                <wp:docPr id="3" name="AutoShape 3" descr="Несвоевременное информирование о профрисках обернулось компенсаци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5DC2A4" id="AutoShape 3" o:spid="_x0000_s1026" alt="Несвоевременное информирование о профрисках обернулось компенсацие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F68eYigDAABBBgAADgAA&#10;AAAAAAAAAAAAAAAuAgAAZHJzL2Uyb0RvYy54bWxQSwECLQAUAAYACAAAACEATKDpLNgAAAADAQAA&#10;DwAAAAAAAAAAAAAAAACC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B0B0B"/>
          <w:sz w:val="24"/>
          <w:szCs w:val="24"/>
          <w:lang w:eastAsia="ru-RU"/>
        </w:rPr>
        <w:drawing>
          <wp:inline distT="0" distB="0" distL="0" distR="0" wp14:anchorId="1150FE65">
            <wp:extent cx="4572000" cy="2609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5B2C" w:rsidRPr="00425B2C" w:rsidRDefault="00425B2C" w:rsidP="00425B2C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Несвоевременное предупреждение работника о профессиональных рисках может обернуться для работодателя выплатой компенсации.</w:t>
      </w:r>
    </w:p>
    <w:p w:rsidR="00425B2C" w:rsidRPr="00425B2C" w:rsidRDefault="00425B2C" w:rsidP="00425B2C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Сотрудник одного из предприятий направил иск с требованием признать не имеющей законную силу идентификацию опасностей, оценку </w:t>
      </w:r>
      <w:proofErr w:type="spellStart"/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профрисков</w:t>
      </w:r>
      <w:proofErr w:type="spellEnd"/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и бездействие нанимателя в части несвоевременного информирования о результатах оценки.</w:t>
      </w:r>
    </w:p>
    <w:p w:rsidR="00425B2C" w:rsidRPr="00425B2C" w:rsidRDefault="00425B2C" w:rsidP="00425B2C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Суд первой инстанции не удовлетворил требования истца, указав, что у него была возможность самому узнать о карте оценки </w:t>
      </w:r>
      <w:proofErr w:type="spellStart"/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профрисков</w:t>
      </w:r>
      <w:proofErr w:type="spellEnd"/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на сайте предприятия.</w:t>
      </w:r>
    </w:p>
    <w:p w:rsidR="00425B2C" w:rsidRPr="00425B2C" w:rsidRDefault="00425B2C" w:rsidP="00425B2C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Судьи Костромского облсуда не согласились с доводами коллег и посчитали действия нанимателя недобросовестными, нарушающими нормы </w:t>
      </w:r>
      <w:hyperlink r:id="rId5" w:anchor="block_21620" w:history="1">
        <w:r w:rsidRPr="00425B2C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ст.216.2</w:t>
        </w:r>
      </w:hyperlink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ТК РФ. Опубликование карты на сайте нанимателя не относится к надлежащим способам информирования, посчитали в облсуде.</w:t>
      </w:r>
    </w:p>
    <w:p w:rsidR="00425B2C" w:rsidRPr="00425B2C" w:rsidRDefault="00425B2C" w:rsidP="00425B2C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В Апелляционном определении СК ГД Костромского облсуда от 09.06.2025 г. по делу №33-1229/2025 сказано, что нежелание истца пользоваться корпоративной </w:t>
      </w:r>
      <w:proofErr w:type="spellStart"/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sim</w:t>
      </w:r>
      <w:proofErr w:type="spellEnd"/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-картой нельзя считать препятствиями с его стороны для получения информации. Чтобы зарегистрировать </w:t>
      </w:r>
      <w:proofErr w:type="spellStart"/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sim</w:t>
      </w:r>
      <w:proofErr w:type="spellEnd"/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-карту работодатель должен был включить персональные данные сотрудника в ЕСИА, что требовало у него присутствия учетной записи на </w:t>
      </w:r>
      <w:proofErr w:type="spellStart"/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госуслугах</w:t>
      </w:r>
      <w:proofErr w:type="spellEnd"/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. При этом истец не предоставлял согласие на обработку персональных сведений, что стало для него причиной отказа от оформления корпоративной </w:t>
      </w:r>
      <w:proofErr w:type="spellStart"/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sim</w:t>
      </w:r>
      <w:proofErr w:type="spellEnd"/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-карты. Судьи подчеркнули, что наниматель имел возможность вовремя проинформировать сотрудника с помощью почтового отправления.</w:t>
      </w:r>
    </w:p>
    <w:p w:rsidR="00425B2C" w:rsidRPr="00425B2C" w:rsidRDefault="00425B2C" w:rsidP="00425B2C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425B2C">
        <w:rPr>
          <w:rFonts w:ascii="Arial" w:eastAsia="Times New Roman" w:hAnsi="Arial" w:cs="Arial"/>
          <w:color w:val="0B0B0B"/>
          <w:sz w:val="24"/>
          <w:szCs w:val="24"/>
          <w:lang w:eastAsia="ru-RU"/>
        </w:rPr>
        <w:lastRenderedPageBreak/>
        <w:t>В результате иск работника был удовлетворен частично. Вместо изначально требуемой компенсации морального вреда в 15 тыс. рублей судом назначена сумма в 5 тыс. рублей.</w:t>
      </w:r>
    </w:p>
    <w:p w:rsidR="00BA122A" w:rsidRDefault="00BA122A"/>
    <w:sectPr w:rsidR="00BA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2C"/>
    <w:rsid w:val="00425B2C"/>
    <w:rsid w:val="00B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E0C64-0CC3-4B05-A777-E31A64A0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633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4561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3262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0016">
                  <w:marLeft w:val="0"/>
                  <w:marRight w:val="0"/>
                  <w:marTop w:val="15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921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1046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06644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3020">
                  <w:marLeft w:val="0"/>
                  <w:marRight w:val="0"/>
                  <w:marTop w:val="15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25268/5ccf0d02df17672c8c05ed030815f86d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2025-09-25T05:40:00Z</dcterms:created>
  <dcterms:modified xsi:type="dcterms:W3CDTF">2025-09-25T05:44:00Z</dcterms:modified>
</cp:coreProperties>
</file>