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pPr w:horzAnchor="page" w:tblpX="8686" w:tblpY="331" w:vertAnchor="page"/>
        <w:tblW w:type="auto" w:w="0"/>
        <w:tblLayout w:type="fixed"/>
        <w:tblCellMar>
          <w:left w:type="dxa" w:w="0"/>
          <w:right w:type="dxa" w:w="0"/>
        </w:tblCellMar>
      </w:tblPr>
      <w:tblGrid>
        <w:gridCol w:w="1581"/>
      </w:tblGrid>
      <w:tr>
        <w:trPr>
          <w:trHeight w:hRule="atLeast" w:val="454"/>
        </w:trPr>
        <w:tc>
          <w:tcPr>
            <w:tcW w:type="dxa" w:w="1581"/>
            <w:tcMar>
              <w:left w:type="dxa" w:w="0"/>
              <w:right w:type="dxa" w:w="0"/>
            </w:tcMar>
          </w:tcPr>
          <w:p w14:paraId="06000000">
            <w:pPr>
              <w:widowControl w:val="1"/>
              <w:spacing w:after="0" w:line="240" w:lineRule="auto"/>
              <w:ind/>
              <w:rPr>
                <w:sz w:val="64"/>
              </w:rPr>
            </w:pPr>
          </w:p>
        </w:tc>
      </w:tr>
    </w:tbl>
    <w:p w14:paraId="07000000">
      <w:pPr>
        <w:widowControl w:val="1"/>
        <w:spacing w:after="0"/>
        <w:ind/>
        <w:jc w:val="right"/>
        <w:rPr>
          <w:rFonts w:ascii="Times New Roman" w:hAnsi="Times New Roman"/>
          <w:b w:val="1"/>
          <w:sz w:val="28"/>
        </w:rPr>
      </w:pPr>
    </w:p>
    <w:p w14:paraId="08000000">
      <w:pPr>
        <w:pStyle w:val="Style_4"/>
        <w:widowControl w:val="1"/>
        <w:spacing w:after="0" w:before="0"/>
        <w:ind w:firstLine="708"/>
        <w:contextualSpacing w:val="1"/>
        <w:jc w:val="center"/>
        <w:rPr>
          <w:color w:val="333333"/>
          <w:sz w:val="28"/>
        </w:rPr>
      </w:pPr>
      <w:r>
        <w:rPr>
          <w:sz w:val="28"/>
        </w:rPr>
        <w:t xml:space="preserve">Прокурор разъясняет: </w:t>
      </w:r>
      <w:r>
        <w:rPr>
          <w:sz w:val="28"/>
        </w:rPr>
        <w:t>неисполнение решения межведомственного органа по противодействию экстремистской деятельности повлечет наложение штрафа в размере до 50 тысяч рублей</w:t>
      </w:r>
    </w:p>
    <w:p w14:paraId="09000000">
      <w:pPr>
        <w:pStyle w:val="Style_4"/>
        <w:widowControl w:val="1"/>
        <w:spacing w:after="0" w:before="0"/>
        <w:ind w:firstLine="708"/>
        <w:contextualSpacing w:val="1"/>
        <w:jc w:val="center"/>
        <w:rPr>
          <w:color w:val="333333"/>
          <w:sz w:val="28"/>
        </w:rPr>
      </w:pPr>
    </w:p>
    <w:p w14:paraId="0A000000">
      <w:pPr>
        <w:widowControl w:val="1"/>
        <w:spacing w:after="0" w:line="240" w:lineRule="auto"/>
        <w:ind w:firstLine="709"/>
        <w:jc w:val="both"/>
        <w:rPr>
          <w:rFonts w:ascii="Times New Roman" w:hAnsi="Times New Roman"/>
          <w:sz w:val="28"/>
        </w:rPr>
      </w:pPr>
      <w:r>
        <w:rPr>
          <w:rFonts w:ascii="Times New Roman" w:hAnsi="Times New Roman"/>
          <w:sz w:val="28"/>
        </w:rPr>
        <w:t>Федеральным законом от 04.11.2025 № 404-ФЗ «О внесении изменений в Кодекс Российской Федерации об административных правонарушениях» Кодекс Российской Федерации об административных правонарушениях дополнен статьей 19.5.4, согласно которой 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повлечет наложение штрафа на должностных лиц в размере от 30 до 50 тысяч рублей или дисквалификацию на срок от 1 года до 3 лет.</w:t>
      </w:r>
    </w:p>
    <w:p w14:paraId="0B000000">
      <w:pPr>
        <w:pStyle w:val="Style_4"/>
        <w:widowControl w:val="1"/>
        <w:spacing w:after="0" w:before="0"/>
        <w:ind w:firstLine="708"/>
        <w:contextualSpacing w:val="1"/>
        <w:jc w:val="both"/>
        <w:rPr>
          <w:rFonts w:ascii="Times New Roman" w:hAnsi="Times New Roman"/>
          <w:sz w:val="28"/>
        </w:rPr>
      </w:pPr>
      <w:r>
        <w:rPr>
          <w:rFonts w:ascii="Times New Roman" w:hAnsi="Times New Roman"/>
          <w:sz w:val="28"/>
        </w:rPr>
        <w:t>Дела об административных правонарушениях, предусмотренных указанной статьей, рассматриваются судьями районных судов, а возбуждаются прокурором.</w:t>
      </w:r>
    </w:p>
    <w:p w14:paraId="0C000000">
      <w:pPr>
        <w:pStyle w:val="Style_4"/>
        <w:widowControl w:val="1"/>
        <w:spacing w:after="0" w:before="0"/>
        <w:ind w:firstLine="708"/>
        <w:contextualSpacing w:val="1"/>
        <w:jc w:val="both"/>
        <w:rPr>
          <w:rFonts w:ascii="Times New Roman" w:hAnsi="Times New Roman"/>
          <w:sz w:val="26"/>
        </w:rPr>
      </w:pPr>
    </w:p>
    <w:sectPr>
      <w:headerReference r:id="rId2" w:type="default"/>
      <w:footerReference r:id="rId1" w:type="first"/>
      <w:pgSz w:h="16838" w:orient="portrait" w:w="11906"/>
      <w:pgMar w:bottom="1134" w:footer="709" w:gutter="0" w:header="709"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pPr w:horzAnchor="margin" w:tblpXSpec="right" w:tblpYSpec="outside" w:vertAnchor="page"/>
      <w:tblW w:type="auto" w:w="0"/>
      <w:tblBorders>
        <w:top w:color="000000" w:sz="12" w:val="single"/>
        <w:left w:color="000000" w:sz="12" w:val="single"/>
        <w:bottom w:color="000000" w:sz="12" w:val="single"/>
        <w:right w:color="000000" w:sz="12" w:val="single"/>
      </w:tblBorders>
      <w:tblLayout w:type="fixed"/>
      <w:tblCellMar>
        <w:top w:type="dxa" w:w="28"/>
        <w:left w:type="dxa" w:w="28"/>
        <w:bottom w:type="dxa" w:w="28"/>
        <w:right w:type="dxa" w:w="28"/>
      </w:tblCellMar>
    </w:tblPr>
    <w:tblGrid>
      <w:gridCol w:w="2962"/>
    </w:tblGrid>
    <w:tr>
      <w:trPr>
        <w:trHeight w:hRule="atLeast" w:val="57"/>
      </w:trPr>
      <w:tc>
        <w:tcPr>
          <w:tcW w:type="dxa" w:w="2962"/>
          <w:tcBorders>
            <w:top w:color="000000" w:sz="12" w:val="single"/>
            <w:left w:color="000000" w:sz="12" w:val="single"/>
            <w:bottom w:color="000000" w:sz="12" w:val="single"/>
            <w:right w:color="000000" w:sz="12" w:val="single"/>
          </w:tcBorders>
          <w:tcMar>
            <w:top w:type="dxa" w:w="28"/>
            <w:left w:type="dxa" w:w="28"/>
            <w:bottom w:type="dxa" w:w="28"/>
            <w:right w:type="dxa" w:w="28"/>
          </w:tcMar>
        </w:tcPr>
        <w:p w14:paraId="01000000">
          <w:pPr>
            <w:widowControl w:val="1"/>
            <w:spacing w:after="60" w:line="240" w:lineRule="auto"/>
            <w:ind/>
            <w:jc w:val="center"/>
            <w:rPr>
              <w:rFonts w:ascii="Times New Roman" w:hAnsi="Times New Roman"/>
              <w:sz w:val="16"/>
            </w:rPr>
          </w:pPr>
          <w:bookmarkStart w:id="1" w:name="SIGNERORG1"/>
          <w:bookmarkEnd w:id="1"/>
        </w:p>
        <w:p w14:paraId="02000000">
          <w:pPr>
            <w:widowControl w:val="1"/>
            <w:tabs>
              <w:tab w:leader="none" w:pos="413" w:val="left"/>
            </w:tabs>
            <w:spacing w:after="60" w:line="240" w:lineRule="auto"/>
            <w:ind/>
            <w:rPr>
              <w:rFonts w:ascii="Times New Roman" w:hAnsi="Times New Roman"/>
              <w:sz w:val="16"/>
            </w:rPr>
          </w:pPr>
          <w:r>
            <w:rPr>
              <w:rFonts w:ascii="Times New Roman" w:hAnsi="Times New Roman"/>
              <w:sz w:val="16"/>
            </w:rPr>
            <w:t xml:space="preserve"> </w:t>
          </w:r>
          <w:r>
            <w:rPr>
              <w:rFonts w:ascii="Times New Roman" w:hAnsi="Times New Roman"/>
              <w:sz w:val="16"/>
            </w:rPr>
            <w:t xml:space="preserve">№ </w:t>
          </w:r>
          <w:bookmarkStart w:id="2" w:name="REGNUMSTAMP"/>
          <w:bookmarkEnd w:id="2"/>
        </w:p>
      </w:tc>
    </w:tr>
  </w:tbl>
  <w:p w14:paraId="03000000">
    <w:pPr>
      <w:pStyle w:val="Style_2"/>
      <w:widowControl w:val="1"/>
      <w:spacing w:after="60"/>
      <w:ind/>
    </w:pP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3"/>
      <w:widowControl w:val="1"/>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05000000">
    <w:pPr>
      <w:pStyle w:val="Style_3"/>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widowControl w:val="1"/>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widowControl w:val="1"/>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widowControl w:val="1"/>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widowControl w:val="1"/>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Balloon Text"/>
    <w:basedOn w:val="Style_5"/>
    <w:link w:val="Style_10_ch"/>
    <w:pPr>
      <w:widowControl w:val="1"/>
      <w:spacing w:after="0" w:line="240" w:lineRule="auto"/>
      <w:ind/>
    </w:pPr>
    <w:rPr>
      <w:rFonts w:ascii="Segoe UI" w:hAnsi="Segoe UI"/>
      <w:sz w:val="18"/>
    </w:rPr>
  </w:style>
  <w:style w:styleId="Style_10_ch" w:type="character">
    <w:name w:val="Balloon Text"/>
    <w:basedOn w:val="Style_5_ch"/>
    <w:link w:val="Style_10"/>
    <w:rPr>
      <w:rFonts w:ascii="Segoe UI" w:hAnsi="Segoe UI"/>
      <w:sz w:val="18"/>
    </w:rPr>
  </w:style>
  <w:style w:styleId="Style_11" w:type="paragraph">
    <w:name w:val="Endnote"/>
    <w:link w:val="Style_11_ch"/>
    <w:pPr>
      <w:widowControl w:val="1"/>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5"/>
    <w:link w:val="Style_12_ch"/>
    <w:uiPriority w:val="9"/>
    <w:qFormat/>
    <w:pPr>
      <w:widowControl w:val="1"/>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Основной текст + 13 pt"/>
    <w:basedOn w:val="Style_14"/>
    <w:link w:val="Style_13_ch"/>
    <w:rPr>
      <w:rFonts w:ascii="Times New Roman" w:hAnsi="Times New Roman"/>
      <w:b w:val="0"/>
      <w:i w:val="0"/>
      <w:smallCaps w:val="0"/>
      <w:strike w:val="0"/>
      <w:spacing w:val="0"/>
      <w:sz w:val="26"/>
      <w:highlight w:val="white"/>
    </w:rPr>
  </w:style>
  <w:style w:styleId="Style_13_ch" w:type="character">
    <w:name w:val="Основной текст + 13 pt"/>
    <w:basedOn w:val="Style_14_ch"/>
    <w:link w:val="Style_13"/>
    <w:rPr>
      <w:rFonts w:ascii="Times New Roman" w:hAnsi="Times New Roman"/>
      <w:b w:val="0"/>
      <w:i w:val="0"/>
      <w:smallCaps w:val="0"/>
      <w:strike w:val="0"/>
      <w:spacing w:val="0"/>
      <w:sz w:val="26"/>
      <w:highlight w:val="white"/>
    </w:rPr>
  </w:style>
  <w:style w:styleId="Style_14" w:type="paragraph">
    <w:name w:val="Основной текст1"/>
    <w:basedOn w:val="Style_5"/>
    <w:link w:val="Style_14_ch"/>
    <w:pPr>
      <w:widowControl w:val="1"/>
      <w:spacing w:after="0" w:line="322" w:lineRule="exact"/>
      <w:ind/>
      <w:jc w:val="both"/>
    </w:pPr>
    <w:rPr>
      <w:rFonts w:ascii="Times New Roman" w:hAnsi="Times New Roman"/>
      <w:sz w:val="27"/>
    </w:rPr>
  </w:style>
  <w:style w:styleId="Style_14_ch" w:type="character">
    <w:name w:val="Основной текст1"/>
    <w:basedOn w:val="Style_5_ch"/>
    <w:link w:val="Style_14"/>
    <w:rPr>
      <w:rFonts w:ascii="Times New Roman" w:hAnsi="Times New Roman"/>
      <w:sz w:val="27"/>
    </w:rPr>
  </w:style>
  <w:style w:styleId="Style_15" w:type="paragraph">
    <w:name w:val="Default Paragraph Font"/>
    <w:link w:val="Style_15_ch"/>
  </w:style>
  <w:style w:styleId="Style_15_ch" w:type="character">
    <w:name w:val="Default Paragraph Font"/>
    <w:link w:val="Style_15"/>
  </w:style>
  <w:style w:styleId="Style_4" w:type="paragraph">
    <w:name w:val="Normal (Web)"/>
    <w:basedOn w:val="Style_5"/>
    <w:link w:val="Style_4_ch"/>
    <w:pPr>
      <w:widowControl w:val="1"/>
      <w:spacing w:afterAutospacing="on" w:beforeAutospacing="on" w:line="240" w:lineRule="auto"/>
      <w:ind/>
    </w:pPr>
    <w:rPr>
      <w:rFonts w:ascii="Times New Roman" w:hAnsi="Times New Roman"/>
      <w:sz w:val="24"/>
    </w:rPr>
  </w:style>
  <w:style w:styleId="Style_4_ch" w:type="character">
    <w:name w:val="Normal (Web)"/>
    <w:basedOn w:val="Style_5_ch"/>
    <w:link w:val="Style_4"/>
    <w:rPr>
      <w:rFonts w:ascii="Times New Roman" w:hAnsi="Times New Roman"/>
      <w:sz w:val="24"/>
    </w:rPr>
  </w:style>
  <w:style w:styleId="Style_16" w:type="paragraph">
    <w:name w:val="toc 3"/>
    <w:next w:val="Style_5"/>
    <w:link w:val="Style_16_ch"/>
    <w:uiPriority w:val="39"/>
    <w:pPr>
      <w:widowControl w:val="1"/>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heading 5"/>
    <w:next w:val="Style_5"/>
    <w:link w:val="Style_17_ch"/>
    <w:uiPriority w:val="9"/>
    <w:qFormat/>
    <w:pPr>
      <w:widowControl w:val="1"/>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5"/>
    <w:link w:val="Style_18_ch"/>
    <w:uiPriority w:val="9"/>
    <w:qFormat/>
    <w:pPr>
      <w:widowControl w:val="1"/>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widowControl w:val="1"/>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5"/>
    <w:link w:val="Style_21_ch"/>
    <w:uiPriority w:val="39"/>
    <w:pPr>
      <w:widowControl w:val="1"/>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widowControl w:val="1"/>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 w:type="paragraph">
    <w:name w:val="footer"/>
    <w:basedOn w:val="Style_5"/>
    <w:link w:val="Style_2_ch"/>
    <w:pPr>
      <w:widowControl w:val="1"/>
      <w:tabs>
        <w:tab w:leader="none" w:pos="4677" w:val="center"/>
        <w:tab w:leader="none" w:pos="9355" w:val="right"/>
      </w:tabs>
      <w:spacing w:after="0" w:line="240" w:lineRule="auto"/>
      <w:ind/>
    </w:pPr>
  </w:style>
  <w:style w:styleId="Style_2_ch" w:type="character">
    <w:name w:val="footer"/>
    <w:basedOn w:val="Style_5_ch"/>
    <w:link w:val="Style_2"/>
  </w:style>
  <w:style w:styleId="Style_23" w:type="paragraph">
    <w:name w:val="toc 9"/>
    <w:next w:val="Style_5"/>
    <w:link w:val="Style_23_ch"/>
    <w:uiPriority w:val="39"/>
    <w:pPr>
      <w:widowControl w:val="1"/>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3" w:type="paragraph">
    <w:name w:val="header"/>
    <w:basedOn w:val="Style_5"/>
    <w:link w:val="Style_3_ch"/>
    <w:pPr>
      <w:widowControl w:val="1"/>
      <w:tabs>
        <w:tab w:leader="none" w:pos="4677" w:val="center"/>
        <w:tab w:leader="none" w:pos="9355" w:val="right"/>
      </w:tabs>
      <w:spacing w:after="0" w:line="240" w:lineRule="auto"/>
      <w:ind/>
    </w:pPr>
  </w:style>
  <w:style w:styleId="Style_3_ch" w:type="character">
    <w:name w:val="header"/>
    <w:basedOn w:val="Style_5_ch"/>
    <w:link w:val="Style_3"/>
  </w:style>
  <w:style w:styleId="Style_24" w:type="paragraph">
    <w:name w:val="toc 8"/>
    <w:next w:val="Style_5"/>
    <w:link w:val="Style_24_ch"/>
    <w:uiPriority w:val="39"/>
    <w:pPr>
      <w:widowControl w:val="1"/>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List Paragraph"/>
    <w:basedOn w:val="Style_5"/>
    <w:link w:val="Style_25_ch"/>
    <w:pPr>
      <w:widowControl w:val="1"/>
      <w:ind w:left="720"/>
      <w:contextualSpacing w:val="1"/>
    </w:pPr>
  </w:style>
  <w:style w:styleId="Style_25_ch" w:type="character">
    <w:name w:val="List Paragraph"/>
    <w:basedOn w:val="Style_5_ch"/>
    <w:link w:val="Style_25"/>
  </w:style>
  <w:style w:styleId="Style_26" w:type="paragraph">
    <w:name w:val="toc 5"/>
    <w:next w:val="Style_5"/>
    <w:link w:val="Style_26_ch"/>
    <w:uiPriority w:val="39"/>
    <w:pPr>
      <w:widowControl w:val="1"/>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5"/>
    <w:link w:val="Style_27_ch"/>
    <w:uiPriority w:val="11"/>
    <w:qFormat/>
    <w:pPr>
      <w:widowControl w:val="1"/>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5"/>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5"/>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5"/>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 w:styleId="Style_31" w:type="table">
    <w:name w:val="Table Grid"/>
    <w:basedOn w:val="Style_1"/>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MyOffice-CoreFramework-Linux/36-1319.1058.9942.953.1@46b7dcda34ec2e7b641d33cb1d2b32a264be336a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2023-03-22T01:52:00Z</dcterms:created>
  <dcterms:modified xsi:type="dcterms:W3CDTF">2025-12-10T01:37:06Z</dcterms:modified>
</cp:coreProperties>
</file>