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6F5" w:rsidRPr="004206F5" w:rsidRDefault="004206F5" w:rsidP="004206F5">
      <w:pPr>
        <w:spacing w:before="192" w:after="148" w:line="240" w:lineRule="auto"/>
        <w:outlineLvl w:val="0"/>
        <w:rPr>
          <w:rFonts w:ascii="Times New Roman" w:eastAsia="Times New Roman" w:hAnsi="Times New Roman" w:cs="Times New Roman"/>
          <w:b/>
          <w:bCs/>
          <w:kern w:val="36"/>
          <w:sz w:val="59"/>
          <w:szCs w:val="59"/>
          <w:lang w:eastAsia="ru-RU"/>
        </w:rPr>
      </w:pPr>
      <w:bookmarkStart w:id="0" w:name="_GoBack"/>
      <w:r w:rsidRPr="004206F5">
        <w:rPr>
          <w:rFonts w:ascii="Times New Roman" w:eastAsia="Times New Roman" w:hAnsi="Times New Roman" w:cs="Times New Roman"/>
          <w:b/>
          <w:bCs/>
          <w:kern w:val="36"/>
          <w:sz w:val="59"/>
          <w:szCs w:val="59"/>
          <w:lang w:eastAsia="ru-RU"/>
        </w:rPr>
        <w:t>Изменения в Трудовой Кодекс – 2026: электронная фиксация инструктажей, увеличение переработки и кое-что ещё…</w:t>
      </w:r>
    </w:p>
    <w:bookmarkEnd w:id="0"/>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Инструктажи по охране труда разрешат фиксировать в электронном виде</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Для этого внесут поправки и дополнения в статьи 22_1, 22_3 и </w:t>
      </w:r>
      <w:hyperlink r:id="rId5" w:tgtFrame="_blank" w:history="1">
        <w:r w:rsidRPr="004206F5">
          <w:rPr>
            <w:rFonts w:ascii="Arial" w:eastAsia="Times New Roman" w:hAnsi="Arial" w:cs="Arial"/>
            <w:color w:val="0000FF"/>
            <w:sz w:val="24"/>
            <w:szCs w:val="24"/>
            <w:u w:val="single"/>
            <w:lang w:eastAsia="ru-RU"/>
          </w:rPr>
          <w:t>211 ТК РФ</w:t>
        </w:r>
      </w:hyperlink>
      <w:r w:rsidRPr="004206F5">
        <w:rPr>
          <w:rFonts w:ascii="Arial" w:eastAsia="Times New Roman" w:hAnsi="Arial" w:cs="Arial"/>
          <w:color w:val="111111"/>
          <w:sz w:val="24"/>
          <w:szCs w:val="24"/>
          <w:lang w:eastAsia="ru-RU"/>
        </w:rPr>
        <w:t>. Суть их состоит в следующем:</w:t>
      </w:r>
    </w:p>
    <w:p w:rsidR="004206F5" w:rsidRPr="004206F5" w:rsidRDefault="004206F5" w:rsidP="004206F5">
      <w:pPr>
        <w:numPr>
          <w:ilvl w:val="0"/>
          <w:numId w:val="2"/>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практику</w:t>
      </w:r>
      <w:proofErr w:type="gramEnd"/>
      <w:r w:rsidRPr="004206F5">
        <w:rPr>
          <w:rFonts w:ascii="Arial" w:eastAsia="Times New Roman" w:hAnsi="Arial" w:cs="Arial"/>
          <w:color w:val="111111"/>
          <w:sz w:val="24"/>
          <w:szCs w:val="24"/>
          <w:lang w:eastAsia="ru-RU"/>
        </w:rPr>
        <w:t xml:space="preserve"> электронного документооборота в сфере трудовых отношений распространят на оформление документов, подтверждающих прохождение работником инструктажей по охране труда, в том числе лично подписываемых работником;</w:t>
      </w:r>
    </w:p>
    <w:p w:rsidR="004206F5" w:rsidRPr="004206F5" w:rsidRDefault="004206F5" w:rsidP="004206F5">
      <w:pPr>
        <w:numPr>
          <w:ilvl w:val="0"/>
          <w:numId w:val="2"/>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установят</w:t>
      </w:r>
      <w:proofErr w:type="gramEnd"/>
      <w:r w:rsidRPr="004206F5">
        <w:rPr>
          <w:rFonts w:ascii="Arial" w:eastAsia="Times New Roman" w:hAnsi="Arial" w:cs="Arial"/>
          <w:color w:val="111111"/>
          <w:sz w:val="24"/>
          <w:szCs w:val="24"/>
          <w:lang w:eastAsia="ru-RU"/>
        </w:rPr>
        <w:t xml:space="preserve"> новую норму, согласно которой оформление документов, подтверждающих прохождение инструктажей по охране труда, будет осуществляться работодателем посредством цифровой платформы «Работа в России».</w:t>
      </w:r>
    </w:p>
    <w:p w:rsidR="004206F5" w:rsidRPr="004206F5" w:rsidRDefault="004206F5" w:rsidP="004206F5">
      <w:pPr>
        <w:numPr>
          <w:ilvl w:val="0"/>
          <w:numId w:val="2"/>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при</w:t>
      </w:r>
      <w:proofErr w:type="gramEnd"/>
      <w:r w:rsidRPr="004206F5">
        <w:rPr>
          <w:rFonts w:ascii="Arial" w:eastAsia="Times New Roman" w:hAnsi="Arial" w:cs="Arial"/>
          <w:color w:val="111111"/>
          <w:sz w:val="24"/>
          <w:szCs w:val="24"/>
          <w:lang w:eastAsia="ru-RU"/>
        </w:rPr>
        <w:t xml:space="preserve"> оформлении документов, подтверждающих прохождение инструктажей по охране труда, могут использоваться:</w:t>
      </w:r>
    </w:p>
    <w:p w:rsidR="004206F5" w:rsidRPr="004206F5" w:rsidRDefault="004206F5" w:rsidP="004206F5">
      <w:pPr>
        <w:numPr>
          <w:ilvl w:val="1"/>
          <w:numId w:val="2"/>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усиленная</w:t>
      </w:r>
      <w:proofErr w:type="gramEnd"/>
      <w:r w:rsidRPr="004206F5">
        <w:rPr>
          <w:rFonts w:ascii="Arial" w:eastAsia="Times New Roman" w:hAnsi="Arial" w:cs="Arial"/>
          <w:color w:val="111111"/>
          <w:sz w:val="24"/>
          <w:szCs w:val="24"/>
          <w:lang w:eastAsia="ru-RU"/>
        </w:rPr>
        <w:t xml:space="preserve"> квалифицированная электронная подпись;</w:t>
      </w:r>
    </w:p>
    <w:p w:rsidR="004206F5" w:rsidRPr="004206F5" w:rsidRDefault="004206F5" w:rsidP="004206F5">
      <w:pPr>
        <w:numPr>
          <w:ilvl w:val="1"/>
          <w:numId w:val="2"/>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усиленная</w:t>
      </w:r>
      <w:proofErr w:type="gramEnd"/>
      <w:r w:rsidRPr="004206F5">
        <w:rPr>
          <w:rFonts w:ascii="Arial" w:eastAsia="Times New Roman" w:hAnsi="Arial" w:cs="Arial"/>
          <w:color w:val="111111"/>
          <w:sz w:val="24"/>
          <w:szCs w:val="24"/>
          <w:lang w:eastAsia="ru-RU"/>
        </w:rPr>
        <w:t xml:space="preserve"> неквалифицированная электронная подпись, выданная с использованием инфраструктуры электронного правительства;</w:t>
      </w:r>
    </w:p>
    <w:p w:rsidR="004206F5" w:rsidRPr="004206F5" w:rsidRDefault="004206F5" w:rsidP="004206F5">
      <w:pPr>
        <w:numPr>
          <w:ilvl w:val="0"/>
          <w:numId w:val="2"/>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основные</w:t>
      </w:r>
      <w:proofErr w:type="gramEnd"/>
      <w:r w:rsidRPr="004206F5">
        <w:rPr>
          <w:rFonts w:ascii="Arial" w:eastAsia="Times New Roman" w:hAnsi="Arial" w:cs="Arial"/>
          <w:color w:val="111111"/>
          <w:sz w:val="24"/>
          <w:szCs w:val="24"/>
          <w:lang w:eastAsia="ru-RU"/>
        </w:rPr>
        <w:t xml:space="preserve"> требования к организации, формам и порядку взаимодействия в области электронного документооборота по вопросам охраны труда установит Правительство Российской Федерации.</w:t>
      </w:r>
    </w:p>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СМП с численностью 35-50 человек разрешат заключать срочный трудовой договор</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В статье 59 ТК РФ содержится норма, согласно которой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 по соглашению сторон смогут заключать с лицами, поступающими на работу, срочный трудовой договор.</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lastRenderedPageBreak/>
        <w:t>Норматив численности увеличат с 35 до 70 человек.</w:t>
      </w:r>
    </w:p>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Разрешат расторгать трудовые договоры с теми, кому назначен уголовный штраф</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В статье 81 ТК РФ в качестве основания для расторжения трудового договора по инициативе работодателя указано 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 xml:space="preserve">Статью дополнят нормой о том, что трудовой договор может быть расторгнут по инициативе работодателя в случае принятия судом решения о прекращении уголовного преследования за указанные противоправные деяния в связи с назначением меры уголовно-правового характера в виде судебного штрафа либо по иным </w:t>
      </w:r>
      <w:proofErr w:type="spellStart"/>
      <w:r w:rsidRPr="004206F5">
        <w:rPr>
          <w:rFonts w:ascii="Arial" w:eastAsia="Times New Roman" w:hAnsi="Arial" w:cs="Arial"/>
          <w:color w:val="111111"/>
          <w:sz w:val="24"/>
          <w:szCs w:val="24"/>
          <w:lang w:eastAsia="ru-RU"/>
        </w:rPr>
        <w:t>нереабилитирующим</w:t>
      </w:r>
      <w:proofErr w:type="spellEnd"/>
      <w:r w:rsidRPr="004206F5">
        <w:rPr>
          <w:rFonts w:ascii="Arial" w:eastAsia="Times New Roman" w:hAnsi="Arial" w:cs="Arial"/>
          <w:color w:val="111111"/>
          <w:sz w:val="24"/>
          <w:szCs w:val="24"/>
          <w:lang w:eastAsia="ru-RU"/>
        </w:rPr>
        <w:t xml:space="preserve"> основаниям.</w:t>
      </w:r>
    </w:p>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Вдвое увеличат норму переработки</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Законопроектом внесут изменения в статьи 99, 152, 185 ТК РФ, которыми увеличат лимит сверхурочных часов до 240 в год, если это прописано в коллективном договоре или отраслевом соглашении. Нововведение должно вступить в силу 1 марта 2026 года.</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Действующий лимит в 120 часов в год сохранится для сотрудников, которые работают:</w:t>
      </w:r>
    </w:p>
    <w:p w:rsidR="004206F5" w:rsidRPr="004206F5" w:rsidRDefault="004206F5" w:rsidP="004206F5">
      <w:pPr>
        <w:numPr>
          <w:ilvl w:val="0"/>
          <w:numId w:val="3"/>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по</w:t>
      </w:r>
      <w:proofErr w:type="gramEnd"/>
      <w:r w:rsidRPr="004206F5">
        <w:rPr>
          <w:rFonts w:ascii="Arial" w:eastAsia="Times New Roman" w:hAnsi="Arial" w:cs="Arial"/>
          <w:color w:val="111111"/>
          <w:sz w:val="24"/>
          <w:szCs w:val="24"/>
          <w:lang w:eastAsia="ru-RU"/>
        </w:rPr>
        <w:t xml:space="preserve"> внутреннему совместительству в государственных и муниципальных учреждениях более чем на четверть месячной нормы рабочего времени;</w:t>
      </w:r>
    </w:p>
    <w:p w:rsidR="004206F5" w:rsidRPr="004206F5" w:rsidRDefault="004206F5" w:rsidP="004206F5">
      <w:pPr>
        <w:numPr>
          <w:ilvl w:val="0"/>
          <w:numId w:val="3"/>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на</w:t>
      </w:r>
      <w:proofErr w:type="gramEnd"/>
      <w:r w:rsidRPr="004206F5">
        <w:rPr>
          <w:rFonts w:ascii="Arial" w:eastAsia="Times New Roman" w:hAnsi="Arial" w:cs="Arial"/>
          <w:color w:val="111111"/>
          <w:sz w:val="24"/>
          <w:szCs w:val="24"/>
          <w:lang w:eastAsia="ru-RU"/>
        </w:rPr>
        <w:t xml:space="preserve"> работах с вредными условиями труда 3 и 4 степени.</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proofErr w:type="spellStart"/>
      <w:r w:rsidRPr="004206F5">
        <w:rPr>
          <w:rFonts w:ascii="Arial" w:eastAsia="Times New Roman" w:hAnsi="Arial" w:cs="Arial"/>
          <w:color w:val="111111"/>
          <w:sz w:val="24"/>
          <w:szCs w:val="24"/>
          <w:lang w:eastAsia="ru-RU"/>
        </w:rPr>
        <w:t>Предпенсионеров</w:t>
      </w:r>
      <w:proofErr w:type="spellEnd"/>
      <w:r w:rsidRPr="004206F5">
        <w:rPr>
          <w:rFonts w:ascii="Arial" w:eastAsia="Times New Roman" w:hAnsi="Arial" w:cs="Arial"/>
          <w:color w:val="111111"/>
          <w:sz w:val="24"/>
          <w:szCs w:val="24"/>
          <w:lang w:eastAsia="ru-RU"/>
        </w:rPr>
        <w:t>, пенсионеров и работников с вредными условиями труда 1 и 2 степени можно привлекать к сверхурочной работе свыше 120 часов в год только с их письменного согласия.</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Все сотрудники, привлекаемые к сверхурочной работе более 120 часов в год, имеют право на один день освобождения от работы в год для прохождения диспансеризации с сохранением места и среднего заработка.</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В пределах 120 часов сверхурочная работа оплачивается следующим образом:</w:t>
      </w:r>
    </w:p>
    <w:p w:rsidR="004206F5" w:rsidRPr="004206F5" w:rsidRDefault="004206F5" w:rsidP="004206F5">
      <w:pPr>
        <w:numPr>
          <w:ilvl w:val="0"/>
          <w:numId w:val="4"/>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первые</w:t>
      </w:r>
      <w:proofErr w:type="gramEnd"/>
      <w:r w:rsidRPr="004206F5">
        <w:rPr>
          <w:rFonts w:ascii="Arial" w:eastAsia="Times New Roman" w:hAnsi="Arial" w:cs="Arial"/>
          <w:color w:val="111111"/>
          <w:sz w:val="24"/>
          <w:szCs w:val="24"/>
          <w:lang w:eastAsia="ru-RU"/>
        </w:rPr>
        <w:t xml:space="preserve"> два часа — с коэффициентом 1,5;</w:t>
      </w:r>
    </w:p>
    <w:p w:rsidR="004206F5" w:rsidRPr="004206F5" w:rsidRDefault="004206F5" w:rsidP="004206F5">
      <w:pPr>
        <w:numPr>
          <w:ilvl w:val="0"/>
          <w:numId w:val="4"/>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lastRenderedPageBreak/>
        <w:t>последующие</w:t>
      </w:r>
      <w:proofErr w:type="gramEnd"/>
      <w:r w:rsidRPr="004206F5">
        <w:rPr>
          <w:rFonts w:ascii="Arial" w:eastAsia="Times New Roman" w:hAnsi="Arial" w:cs="Arial"/>
          <w:color w:val="111111"/>
          <w:sz w:val="24"/>
          <w:szCs w:val="24"/>
          <w:lang w:eastAsia="ru-RU"/>
        </w:rPr>
        <w:t xml:space="preserve"> часы — с коэффициентом 2.</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Со 121-го часа применяется коэффициент 2.</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Конкретные размеры оплаты сверхурочной работы могут быть установлены коллективным или трудовым договором, а также локальным нормативным актом. Работник также имеет право на дополнительный отдых вместо повышенной оплаты по своему желанию.</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Работникам, привлекаемым к сверхурочной работе сверх 120 часов в год, предоставят право на освобождение от работы на один рабочий день в год с сохранением за ними места работы (должности) и среднего заработка при прохождении диспансеризации и медицинских осмотров перед началом сверхурочной работы.</w:t>
      </w:r>
    </w:p>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 xml:space="preserve">Уведомление об увольнении разрешат направлять </w:t>
      </w:r>
      <w:proofErr w:type="spellStart"/>
      <w:r w:rsidRPr="004206F5">
        <w:rPr>
          <w:rFonts w:ascii="Arial" w:eastAsia="Times New Roman" w:hAnsi="Arial" w:cs="Arial"/>
          <w:b/>
          <w:bCs/>
          <w:color w:val="111111"/>
          <w:sz w:val="47"/>
          <w:szCs w:val="47"/>
          <w:lang w:eastAsia="ru-RU"/>
        </w:rPr>
        <w:t>электронно</w:t>
      </w:r>
      <w:proofErr w:type="spellEnd"/>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Внесут дополнения в статью 180 ТК РФ, которыми установят норму, позволяющую направлять уведомления работникам об их увольнении в связи с ликвидацией организации, сокращением численности в электронном виде посредством цифровой платформы «Работа в России».</w:t>
      </w:r>
    </w:p>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Запретят отзывать из отпуска «</w:t>
      </w:r>
      <w:proofErr w:type="spellStart"/>
      <w:r w:rsidRPr="004206F5">
        <w:rPr>
          <w:rFonts w:ascii="Arial" w:eastAsia="Times New Roman" w:hAnsi="Arial" w:cs="Arial"/>
          <w:b/>
          <w:bCs/>
          <w:color w:val="111111"/>
          <w:sz w:val="47"/>
          <w:szCs w:val="47"/>
          <w:lang w:eastAsia="ru-RU"/>
        </w:rPr>
        <w:t>вредников</w:t>
      </w:r>
      <w:proofErr w:type="spellEnd"/>
      <w:r w:rsidRPr="004206F5">
        <w:rPr>
          <w:rFonts w:ascii="Arial" w:eastAsia="Times New Roman" w:hAnsi="Arial" w:cs="Arial"/>
          <w:b/>
          <w:bCs/>
          <w:color w:val="111111"/>
          <w:sz w:val="47"/>
          <w:szCs w:val="47"/>
          <w:lang w:eastAsia="ru-RU"/>
        </w:rPr>
        <w:t>», несовершеннолетних и беременных</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Статью 125 ТК РФ дополнят нормой о том, что отзыв из отпуска работника, занятого на работах с вредными и (или) опасными условиями труда, не допускается, за исключением случаев предотвращения катастрофы, производственной аварии либо устранения последствий катастрофы, производственной аварии или стихийного бедствия, требующих непосредственного привлечения указанного работника исходя из возложенной на него трудовой функции.</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Часы работы на выполнение отозванным из отпуска работником своих трудовых обязанностей в отношении случаев, послуживших причиной его отзыва из отпуска, оплачиваются не менее чем в двойном размере, а также порядок отзыва из отпуска должен быть предусмотрен коллективным договором, соглашениями, локальными нормативными актами, трудовым договором.</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Неиспользованная в связи с указанным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lastRenderedPageBreak/>
        <w:t>Установят запрет на отзыв из отпуска работников в возрасте до 18 лет и беременных женщин. Сейчас запрет распространяется только на работающих во вредных условиях беременных и несовершеннолетних.</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Планируется, что все перечисленные изменения примут в течение первого квартала 2026 года. Закон в целом вступит в силу с 1 марта 2026 года, за исключением норм, касающихся ЭДО в регистрации инструктажей. Они вступят в силу вступят в силу с 1 сентября 2027 года.</w:t>
      </w:r>
    </w:p>
    <w:p w:rsidR="004206F5" w:rsidRPr="004206F5" w:rsidRDefault="004206F5" w:rsidP="004206F5">
      <w:pPr>
        <w:shd w:val="clear" w:color="auto" w:fill="FFFFFF"/>
        <w:spacing w:before="480" w:after="186" w:line="240" w:lineRule="auto"/>
        <w:outlineLvl w:val="1"/>
        <w:rPr>
          <w:rFonts w:ascii="Arial" w:eastAsia="Times New Roman" w:hAnsi="Arial" w:cs="Arial"/>
          <w:b/>
          <w:bCs/>
          <w:color w:val="111111"/>
          <w:sz w:val="47"/>
          <w:szCs w:val="47"/>
          <w:lang w:eastAsia="ru-RU"/>
        </w:rPr>
      </w:pPr>
      <w:r w:rsidRPr="004206F5">
        <w:rPr>
          <w:rFonts w:ascii="Arial" w:eastAsia="Times New Roman" w:hAnsi="Arial" w:cs="Arial"/>
          <w:b/>
          <w:bCs/>
          <w:color w:val="111111"/>
          <w:sz w:val="47"/>
          <w:szCs w:val="47"/>
          <w:lang w:eastAsia="ru-RU"/>
        </w:rPr>
        <w:t>Резюме</w:t>
      </w:r>
    </w:p>
    <w:p w:rsidR="004206F5" w:rsidRPr="004206F5" w:rsidRDefault="004206F5" w:rsidP="004206F5">
      <w:pPr>
        <w:shd w:val="clear" w:color="auto" w:fill="FFFFFF"/>
        <w:spacing w:after="408" w:line="240" w:lineRule="auto"/>
        <w:rPr>
          <w:rFonts w:ascii="Arial" w:eastAsia="Times New Roman" w:hAnsi="Arial" w:cs="Arial"/>
          <w:color w:val="111111"/>
          <w:sz w:val="24"/>
          <w:szCs w:val="24"/>
          <w:lang w:eastAsia="ru-RU"/>
        </w:rPr>
      </w:pPr>
      <w:r w:rsidRPr="004206F5">
        <w:rPr>
          <w:rFonts w:ascii="Arial" w:eastAsia="Times New Roman" w:hAnsi="Arial" w:cs="Arial"/>
          <w:color w:val="111111"/>
          <w:sz w:val="24"/>
          <w:szCs w:val="24"/>
          <w:lang w:eastAsia="ru-RU"/>
        </w:rPr>
        <w:t>Итак, законопроектом предлагается внести комплексные изменения в трудовое законодательство, предусматривающие:</w:t>
      </w:r>
    </w:p>
    <w:p w:rsidR="004206F5" w:rsidRPr="004206F5" w:rsidRDefault="004206F5" w:rsidP="004206F5">
      <w:pPr>
        <w:numPr>
          <w:ilvl w:val="0"/>
          <w:numId w:val="5"/>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установление</w:t>
      </w:r>
      <w:proofErr w:type="gramEnd"/>
      <w:r w:rsidRPr="004206F5">
        <w:rPr>
          <w:rFonts w:ascii="Arial" w:eastAsia="Times New Roman" w:hAnsi="Arial" w:cs="Arial"/>
          <w:color w:val="111111"/>
          <w:sz w:val="24"/>
          <w:szCs w:val="24"/>
          <w:lang w:eastAsia="ru-RU"/>
        </w:rPr>
        <w:t xml:space="preserve"> возможности увеличения продолжительности сверхурочной работы до 240 часов в год;</w:t>
      </w:r>
    </w:p>
    <w:p w:rsidR="004206F5" w:rsidRPr="004206F5" w:rsidRDefault="004206F5" w:rsidP="004206F5">
      <w:pPr>
        <w:numPr>
          <w:ilvl w:val="0"/>
          <w:numId w:val="5"/>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расширение</w:t>
      </w:r>
      <w:proofErr w:type="gramEnd"/>
      <w:r w:rsidRPr="004206F5">
        <w:rPr>
          <w:rFonts w:ascii="Arial" w:eastAsia="Times New Roman" w:hAnsi="Arial" w:cs="Arial"/>
          <w:color w:val="111111"/>
          <w:sz w:val="24"/>
          <w:szCs w:val="24"/>
          <w:lang w:eastAsia="ru-RU"/>
        </w:rPr>
        <w:t xml:space="preserve"> перечня оснований расторжения трудового договора;</w:t>
      </w:r>
    </w:p>
    <w:p w:rsidR="004206F5" w:rsidRPr="004206F5" w:rsidRDefault="004206F5" w:rsidP="004206F5">
      <w:pPr>
        <w:numPr>
          <w:ilvl w:val="0"/>
          <w:numId w:val="5"/>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введение</w:t>
      </w:r>
      <w:proofErr w:type="gramEnd"/>
      <w:r w:rsidRPr="004206F5">
        <w:rPr>
          <w:rFonts w:ascii="Arial" w:eastAsia="Times New Roman" w:hAnsi="Arial" w:cs="Arial"/>
          <w:color w:val="111111"/>
          <w:sz w:val="24"/>
          <w:szCs w:val="24"/>
          <w:lang w:eastAsia="ru-RU"/>
        </w:rPr>
        <w:t xml:space="preserve"> электронного кадрового документооборота в отношении документов, подтверждающих прохождение работниками инструктажей по охране труда;</w:t>
      </w:r>
    </w:p>
    <w:p w:rsidR="004206F5" w:rsidRPr="004206F5" w:rsidRDefault="004206F5" w:rsidP="004206F5">
      <w:pPr>
        <w:numPr>
          <w:ilvl w:val="0"/>
          <w:numId w:val="5"/>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увеличение</w:t>
      </w:r>
      <w:proofErr w:type="gramEnd"/>
      <w:r w:rsidRPr="004206F5">
        <w:rPr>
          <w:rFonts w:ascii="Arial" w:eastAsia="Times New Roman" w:hAnsi="Arial" w:cs="Arial"/>
          <w:color w:val="111111"/>
          <w:sz w:val="24"/>
          <w:szCs w:val="24"/>
          <w:lang w:eastAsia="ru-RU"/>
        </w:rPr>
        <w:t xml:space="preserve"> предельной численности работников, с которыми могут быть заключены срочные трудовые договоры у субъектов малого бизнеса (с 35 до 70 человек);</w:t>
      </w:r>
    </w:p>
    <w:p w:rsidR="004206F5" w:rsidRPr="004206F5" w:rsidRDefault="004206F5" w:rsidP="004206F5">
      <w:pPr>
        <w:numPr>
          <w:ilvl w:val="0"/>
          <w:numId w:val="5"/>
        </w:numPr>
        <w:shd w:val="clear" w:color="auto" w:fill="FFFFFF"/>
        <w:spacing w:before="168" w:after="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установление</w:t>
      </w:r>
      <w:proofErr w:type="gramEnd"/>
      <w:r w:rsidRPr="004206F5">
        <w:rPr>
          <w:rFonts w:ascii="Arial" w:eastAsia="Times New Roman" w:hAnsi="Arial" w:cs="Arial"/>
          <w:color w:val="111111"/>
          <w:sz w:val="24"/>
          <w:szCs w:val="24"/>
          <w:lang w:eastAsia="ru-RU"/>
        </w:rPr>
        <w:t xml:space="preserve"> ограничений на отзыв из непрерывного отпуска работников, занятых на работах с вредными и опасными условиями труда;</w:t>
      </w:r>
    </w:p>
    <w:p w:rsidR="004206F5" w:rsidRPr="004206F5" w:rsidRDefault="004206F5" w:rsidP="004206F5">
      <w:pPr>
        <w:numPr>
          <w:ilvl w:val="0"/>
          <w:numId w:val="5"/>
        </w:numPr>
        <w:shd w:val="clear" w:color="auto" w:fill="FFFFFF"/>
        <w:spacing w:before="168" w:line="240" w:lineRule="auto"/>
        <w:ind w:left="0"/>
        <w:rPr>
          <w:rFonts w:ascii="Arial" w:eastAsia="Times New Roman" w:hAnsi="Arial" w:cs="Arial"/>
          <w:color w:val="111111"/>
          <w:sz w:val="24"/>
          <w:szCs w:val="24"/>
          <w:lang w:eastAsia="ru-RU"/>
        </w:rPr>
      </w:pPr>
      <w:proofErr w:type="gramStart"/>
      <w:r w:rsidRPr="004206F5">
        <w:rPr>
          <w:rFonts w:ascii="Arial" w:eastAsia="Times New Roman" w:hAnsi="Arial" w:cs="Arial"/>
          <w:color w:val="111111"/>
          <w:sz w:val="24"/>
          <w:szCs w:val="24"/>
          <w:lang w:eastAsia="ru-RU"/>
        </w:rPr>
        <w:t>установление</w:t>
      </w:r>
      <w:proofErr w:type="gramEnd"/>
      <w:r w:rsidRPr="004206F5">
        <w:rPr>
          <w:rFonts w:ascii="Arial" w:eastAsia="Times New Roman" w:hAnsi="Arial" w:cs="Arial"/>
          <w:color w:val="111111"/>
          <w:sz w:val="24"/>
          <w:szCs w:val="24"/>
          <w:lang w:eastAsia="ru-RU"/>
        </w:rPr>
        <w:t xml:space="preserve"> возможности направления уведомления об их увольнении в электронном виде.</w:t>
      </w:r>
    </w:p>
    <w:p w:rsidR="00446238" w:rsidRDefault="00446238"/>
    <w:sectPr w:rsidR="00446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8081A"/>
    <w:multiLevelType w:val="multilevel"/>
    <w:tmpl w:val="F1E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90441"/>
    <w:multiLevelType w:val="multilevel"/>
    <w:tmpl w:val="AF1C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44CA3"/>
    <w:multiLevelType w:val="multilevel"/>
    <w:tmpl w:val="ACEA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032628"/>
    <w:multiLevelType w:val="multilevel"/>
    <w:tmpl w:val="F030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511CE2"/>
    <w:multiLevelType w:val="multilevel"/>
    <w:tmpl w:val="851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F5"/>
    <w:rsid w:val="004206F5"/>
    <w:rsid w:val="0044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5A5E6-5359-462E-BF6D-CEA8B688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70633">
      <w:bodyDiv w:val="1"/>
      <w:marLeft w:val="0"/>
      <w:marRight w:val="0"/>
      <w:marTop w:val="0"/>
      <w:marBottom w:val="0"/>
      <w:divBdr>
        <w:top w:val="none" w:sz="0" w:space="0" w:color="auto"/>
        <w:left w:val="none" w:sz="0" w:space="0" w:color="auto"/>
        <w:bottom w:val="none" w:sz="0" w:space="0" w:color="auto"/>
        <w:right w:val="none" w:sz="0" w:space="0" w:color="auto"/>
      </w:divBdr>
      <w:divsChild>
        <w:div w:id="1713536493">
          <w:marLeft w:val="0"/>
          <w:marRight w:val="0"/>
          <w:marTop w:val="0"/>
          <w:marBottom w:val="450"/>
          <w:divBdr>
            <w:top w:val="none" w:sz="0" w:space="0" w:color="auto"/>
            <w:left w:val="none" w:sz="0" w:space="0" w:color="auto"/>
            <w:bottom w:val="single" w:sz="18" w:space="15" w:color="F2F2F2"/>
            <w:right w:val="none" w:sz="0" w:space="0" w:color="auto"/>
          </w:divBdr>
        </w:div>
        <w:div w:id="765078948">
          <w:marLeft w:val="0"/>
          <w:marRight w:val="0"/>
          <w:marTop w:val="0"/>
          <w:marBottom w:val="432"/>
          <w:divBdr>
            <w:top w:val="none" w:sz="0" w:space="0" w:color="auto"/>
            <w:left w:val="none" w:sz="0" w:space="0" w:color="auto"/>
            <w:bottom w:val="none" w:sz="0" w:space="0" w:color="auto"/>
            <w:right w:val="none" w:sz="0" w:space="0" w:color="auto"/>
          </w:divBdr>
        </w:div>
        <w:div w:id="1229223252">
          <w:marLeft w:val="0"/>
          <w:marRight w:val="0"/>
          <w:marTop w:val="0"/>
          <w:marBottom w:val="600"/>
          <w:divBdr>
            <w:top w:val="none" w:sz="0" w:space="0" w:color="auto"/>
            <w:left w:val="none" w:sz="0" w:space="0" w:color="auto"/>
            <w:bottom w:val="none" w:sz="0" w:space="0" w:color="auto"/>
            <w:right w:val="none" w:sz="0" w:space="0" w:color="auto"/>
          </w:divBdr>
          <w:divsChild>
            <w:div w:id="910191035">
              <w:marLeft w:val="0"/>
              <w:marRight w:val="0"/>
              <w:marTop w:val="0"/>
              <w:marBottom w:val="450"/>
              <w:divBdr>
                <w:top w:val="none" w:sz="0" w:space="0" w:color="auto"/>
                <w:left w:val="none" w:sz="0" w:space="0" w:color="auto"/>
                <w:bottom w:val="none" w:sz="0" w:space="0" w:color="auto"/>
                <w:right w:val="none" w:sz="0" w:space="0" w:color="auto"/>
              </w:divBdr>
              <w:divsChild>
                <w:div w:id="162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8sbbilafpyxcf8a.xn--p1ai/trudovoj-kodeks/%D1%81%D1%82%D0%B0%D1%82%D1%8C%D1%8F-211-%D1%82%D0%BA-%D1%80%D1%8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2025-12-25T05:56:00Z</dcterms:created>
  <dcterms:modified xsi:type="dcterms:W3CDTF">2025-12-25T05:58:00Z</dcterms:modified>
</cp:coreProperties>
</file>