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6000000">
      <w:pPr>
        <w:widowControl w:val="1"/>
        <w:ind w:firstLine="0" w:left="0"/>
      </w:pPr>
      <w:r>
        <w:drawing>
          <wp:anchor allowOverlap="true" behindDoc="false" distL="114300" distR="114300" layoutInCell="true" locked="false" relativeHeight="251658240" simplePos="false">
            <wp:simplePos x="0" y="0"/>
            <wp:positionH relativeFrom="margin">
              <wp:posOffset>1772284</wp:posOffset>
            </wp:positionH>
            <wp:positionV relativeFrom="page">
              <wp:posOffset>68580</wp:posOffset>
            </wp:positionV>
            <wp:extent cx="4223386" cy="2360889"/>
            <wp:effectExtent b="0" l="0" r="0" t="0"/>
            <wp:wrapTopAndBottom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4223386" cy="2360889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7000000">
      <w:pPr>
        <w:widowControl w:val="1"/>
        <w:spacing w:after="0" w:line="240" w:lineRule="auto"/>
        <w:ind w:firstLine="0" w:left="1134"/>
        <w:jc w:val="center"/>
        <w:rPr>
          <w:rFonts w:ascii="Times New Roman" w:hAnsi="Times New Roman"/>
          <w:b w:val="1"/>
          <w:color w:val="273350"/>
          <w:sz w:val="36"/>
        </w:rPr>
      </w:pPr>
      <w:r>
        <w:rPr>
          <w:rFonts w:ascii="Times New Roman" w:hAnsi="Times New Roman"/>
          <w:b w:val="1"/>
          <w:color w:val="273350"/>
          <w:sz w:val="36"/>
        </w:rPr>
        <w:t>Мошенники придумали новый способ обмана, используя поддельные письма от имени межведомственной комиссии по противодействию нелегальной занятости</w:t>
      </w:r>
    </w:p>
    <w:p w14:paraId="08000000">
      <w:pPr>
        <w:widowControl w:val="1"/>
        <w:spacing w:after="0" w:line="240" w:lineRule="auto"/>
        <w:ind w:firstLine="0" w:left="1134"/>
        <w:jc w:val="center"/>
        <w:rPr>
          <w:rFonts w:ascii="Times New Roman" w:hAnsi="Times New Roman"/>
          <w:b w:val="1"/>
          <w:color w:val="273350"/>
          <w:sz w:val="40"/>
        </w:rPr>
      </w:pPr>
    </w:p>
    <w:p w14:paraId="09000000">
      <w:pPr>
        <w:widowControl w:val="1"/>
        <w:spacing w:after="0" w:line="240" w:lineRule="auto"/>
        <w:ind w:firstLine="709" w:left="1134"/>
        <w:jc w:val="both"/>
        <w:rPr>
          <w:rFonts w:ascii="Times New Roman" w:hAnsi="Times New Roman"/>
          <w:color w:val="273350"/>
          <w:sz w:val="28"/>
        </w:rPr>
      </w:pPr>
      <w:r>
        <w:rPr>
          <w:rFonts w:ascii="Times New Roman" w:hAnsi="Times New Roman"/>
          <w:color w:val="273350"/>
          <w:sz w:val="28"/>
        </w:rPr>
        <w:t>Мошенники рассылают фальшивые требования о выявленных нарушениях в деятельности организации/ИП. В письмах говорится, что у вашей компании обнаружены признаки теневой занятости. Для устранения последствий предлагается: </w:t>
      </w:r>
    </w:p>
    <w:p w14:paraId="0A000000">
      <w:pPr>
        <w:widowControl w:val="1"/>
        <w:spacing w:after="0" w:line="240" w:lineRule="auto"/>
        <w:ind w:firstLine="709" w:left="1134"/>
        <w:jc w:val="both"/>
        <w:rPr>
          <w:rFonts w:ascii="Times New Roman" w:hAnsi="Times New Roman"/>
          <w:color w:val="273350"/>
          <w:sz w:val="28"/>
        </w:rPr>
      </w:pPr>
      <w:r>
        <w:rPr>
          <w:rFonts w:ascii="Times New Roman" w:hAnsi="Times New Roman"/>
          <w:color w:val="273350"/>
          <w:sz w:val="28"/>
        </w:rPr>
        <w:t>1.  Предоставить в межведомственную комиссию пакет документов в течение 3 дней. </w:t>
      </w:r>
    </w:p>
    <w:p w14:paraId="0B000000">
      <w:pPr>
        <w:widowControl w:val="1"/>
        <w:spacing w:after="0" w:line="240" w:lineRule="auto"/>
        <w:ind w:firstLine="709" w:left="1134"/>
        <w:jc w:val="both"/>
        <w:rPr>
          <w:rFonts w:ascii="Times New Roman" w:hAnsi="Times New Roman"/>
          <w:color w:val="273350"/>
          <w:sz w:val="28"/>
        </w:rPr>
      </w:pPr>
      <w:r>
        <w:rPr>
          <w:rFonts w:ascii="Times New Roman" w:hAnsi="Times New Roman"/>
          <w:color w:val="273350"/>
          <w:sz w:val="28"/>
        </w:rPr>
        <w:t>2.  Перейти по QR-коду для получения «подтверждающих документов». </w:t>
      </w:r>
    </w:p>
    <w:p w14:paraId="0C000000">
      <w:pPr>
        <w:widowControl w:val="1"/>
        <w:spacing w:after="0" w:line="240" w:lineRule="auto"/>
        <w:ind w:firstLine="709" w:left="1134"/>
        <w:jc w:val="both"/>
        <w:rPr>
          <w:rFonts w:ascii="Times New Roman" w:hAnsi="Times New Roman"/>
          <w:color w:val="273350"/>
          <w:sz w:val="28"/>
        </w:rPr>
      </w:pPr>
      <w:r>
        <w:rPr>
          <w:rFonts w:ascii="Times New Roman" w:hAnsi="Times New Roman"/>
          <w:color w:val="273350"/>
          <w:sz w:val="28"/>
        </w:rPr>
        <w:t>  Успеть выполнить действия в течение 4 часов (код действителен ограниченное время). </w:t>
      </w:r>
    </w:p>
    <w:p w14:paraId="0D000000">
      <w:pPr>
        <w:widowControl w:val="1"/>
        <w:spacing w:after="0" w:line="240" w:lineRule="auto"/>
        <w:ind w:firstLine="709" w:left="1134"/>
        <w:jc w:val="both"/>
        <w:rPr>
          <w:rFonts w:ascii="Times New Roman" w:hAnsi="Times New Roman"/>
          <w:color w:val="273350"/>
          <w:sz w:val="28"/>
        </w:rPr>
      </w:pPr>
      <w:r>
        <w:rPr>
          <w:rFonts w:ascii="Times New Roman" w:hAnsi="Times New Roman"/>
          <w:color w:val="273350"/>
          <w:sz w:val="28"/>
        </w:rPr>
        <w:t>  Особенности обмана:  </w:t>
      </w:r>
    </w:p>
    <w:p w14:paraId="0E000000">
      <w:pPr>
        <w:widowControl w:val="1"/>
        <w:spacing w:after="0" w:line="240" w:lineRule="auto"/>
        <w:ind w:firstLine="709" w:left="1134"/>
        <w:jc w:val="both"/>
        <w:rPr>
          <w:rFonts w:ascii="Times New Roman" w:hAnsi="Times New Roman"/>
          <w:color w:val="273350"/>
          <w:sz w:val="28"/>
        </w:rPr>
      </w:pPr>
      <w:r>
        <w:rPr>
          <w:rFonts w:ascii="Times New Roman" w:hAnsi="Times New Roman"/>
          <w:color w:val="273350"/>
          <w:sz w:val="28"/>
        </w:rPr>
        <w:t>- Мошенники запугивают возможной блокировкой счетов или штрафами. </w:t>
      </w:r>
    </w:p>
    <w:p w14:paraId="0F000000">
      <w:pPr>
        <w:widowControl w:val="1"/>
        <w:spacing w:after="0" w:line="240" w:lineRule="auto"/>
        <w:ind w:firstLine="709" w:left="1134"/>
        <w:jc w:val="both"/>
        <w:rPr>
          <w:rFonts w:ascii="Times New Roman" w:hAnsi="Times New Roman"/>
          <w:color w:val="273350"/>
          <w:sz w:val="28"/>
        </w:rPr>
      </w:pPr>
      <w:r>
        <w:rPr>
          <w:rFonts w:ascii="Times New Roman" w:hAnsi="Times New Roman"/>
          <w:color w:val="273350"/>
          <w:sz w:val="28"/>
        </w:rPr>
        <w:t>- Требуют оплату за «получение документов». </w:t>
      </w:r>
    </w:p>
    <w:p w14:paraId="10000000">
      <w:pPr>
        <w:widowControl w:val="1"/>
        <w:spacing w:after="0" w:line="240" w:lineRule="auto"/>
        <w:ind w:firstLine="709" w:left="1134"/>
        <w:jc w:val="both"/>
        <w:rPr>
          <w:rFonts w:ascii="Times New Roman" w:hAnsi="Times New Roman"/>
          <w:color w:val="273350"/>
          <w:sz w:val="28"/>
        </w:rPr>
      </w:pPr>
      <w:r>
        <w:rPr>
          <w:rFonts w:ascii="Times New Roman" w:hAnsi="Times New Roman"/>
          <w:color w:val="273350"/>
          <w:sz w:val="28"/>
        </w:rPr>
        <w:t>- Просят указать номер телефона и адрес для «государственной доставки». </w:t>
      </w:r>
    </w:p>
    <w:p w14:paraId="11000000">
      <w:pPr>
        <w:widowControl w:val="1"/>
        <w:spacing w:after="0" w:line="240" w:lineRule="auto"/>
        <w:ind w:firstLine="709" w:left="1134"/>
        <w:jc w:val="both"/>
        <w:rPr>
          <w:rFonts w:ascii="Times New Roman" w:hAnsi="Times New Roman"/>
          <w:color w:val="273350"/>
          <w:sz w:val="28"/>
        </w:rPr>
      </w:pPr>
      <w:r>
        <w:rPr>
          <w:rFonts w:ascii="Times New Roman" w:hAnsi="Times New Roman"/>
          <w:color w:val="273350"/>
          <w:sz w:val="28"/>
        </w:rPr>
        <w:t> </w:t>
      </w:r>
    </w:p>
    <w:p w14:paraId="12000000">
      <w:pPr>
        <w:widowControl w:val="1"/>
        <w:spacing w:after="0" w:line="240" w:lineRule="auto"/>
        <w:ind w:firstLine="709" w:left="1134"/>
        <w:jc w:val="both"/>
        <w:rPr>
          <w:rFonts w:ascii="Times New Roman" w:hAnsi="Times New Roman"/>
          <w:color w:val="273350"/>
          <w:sz w:val="28"/>
        </w:rPr>
      </w:pPr>
      <w:r>
        <w:rPr>
          <w:rFonts w:ascii="Times New Roman" w:hAnsi="Times New Roman"/>
          <w:color w:val="273350"/>
          <w:sz w:val="28"/>
        </w:rPr>
        <w:t>Необходимые меры при поступлении таких сообщений:</w:t>
      </w:r>
    </w:p>
    <w:p w14:paraId="13000000">
      <w:pPr>
        <w:widowControl w:val="1"/>
        <w:spacing w:after="0" w:line="240" w:lineRule="auto"/>
        <w:ind w:firstLine="709" w:left="1134"/>
        <w:jc w:val="both"/>
        <w:rPr>
          <w:rFonts w:ascii="Times New Roman" w:hAnsi="Times New Roman"/>
          <w:color w:val="273350"/>
          <w:sz w:val="28"/>
        </w:rPr>
      </w:pPr>
      <w:r>
        <w:rPr>
          <w:rFonts w:ascii="Times New Roman" w:hAnsi="Times New Roman"/>
          <w:color w:val="273350"/>
          <w:sz w:val="28"/>
        </w:rPr>
        <w:t>1. Не переходите по QR-кодам из таких писем.  </w:t>
      </w:r>
    </w:p>
    <w:p w14:paraId="14000000">
      <w:pPr>
        <w:widowControl w:val="1"/>
        <w:spacing w:after="0" w:line="240" w:lineRule="auto"/>
        <w:ind w:firstLine="709" w:left="1134"/>
        <w:jc w:val="both"/>
        <w:rPr>
          <w:rFonts w:ascii="Times New Roman" w:hAnsi="Times New Roman"/>
          <w:color w:val="273350"/>
          <w:sz w:val="28"/>
        </w:rPr>
      </w:pPr>
      <w:r>
        <w:rPr>
          <w:rFonts w:ascii="Times New Roman" w:hAnsi="Times New Roman"/>
          <w:color w:val="273350"/>
          <w:sz w:val="28"/>
        </w:rPr>
        <w:t>2. Не передавайте свои данные (банковские реквизиты, номер телефона, адрес и т.д.). </w:t>
      </w:r>
    </w:p>
    <w:p w14:paraId="15000000">
      <w:pPr>
        <w:widowControl w:val="1"/>
        <w:spacing w:after="0" w:line="240" w:lineRule="auto"/>
        <w:ind w:firstLine="709" w:left="1134"/>
        <w:jc w:val="both"/>
        <w:rPr>
          <w:rFonts w:ascii="Times New Roman" w:hAnsi="Times New Roman"/>
          <w:color w:val="273350"/>
          <w:sz w:val="28"/>
        </w:rPr>
      </w:pPr>
      <w:r>
        <w:rPr>
          <w:rFonts w:ascii="Times New Roman" w:hAnsi="Times New Roman"/>
          <w:color w:val="273350"/>
          <w:sz w:val="28"/>
        </w:rPr>
        <w:t>3. Игнорируйте такие сообщения – органы не рассылают подобные требования со ссылкой на QR-коды или сторонние сервисы.</w:t>
      </w:r>
    </w:p>
    <w:p w14:paraId="16000000">
      <w:pPr>
        <w:widowControl w:val="1"/>
        <w:spacing w:after="0" w:line="240" w:lineRule="auto"/>
        <w:ind w:firstLine="709" w:left="1134"/>
        <w:jc w:val="both"/>
        <w:rPr>
          <w:rFonts w:ascii="Times New Roman" w:hAnsi="Times New Roman"/>
          <w:color w:val="273350"/>
          <w:sz w:val="28"/>
        </w:rPr>
      </w:pPr>
      <w:r>
        <w:rPr>
          <w:rFonts w:ascii="Times New Roman" w:hAnsi="Times New Roman"/>
          <w:color w:val="273350"/>
          <w:sz w:val="28"/>
        </w:rPr>
        <w:t>4.</w:t>
      </w:r>
      <w:r>
        <w:rPr>
          <w:rFonts w:ascii="Times New Roman" w:hAnsi="Times New Roman"/>
          <w:color w:val="3B4256"/>
          <w:sz w:val="28"/>
          <w:highlight w:val="white"/>
        </w:rPr>
        <w:t xml:space="preserve"> Проверяйте информацию через официальные источники:</w:t>
      </w:r>
    </w:p>
    <w:p w14:paraId="17000000">
      <w:pPr>
        <w:widowControl w:val="1"/>
        <w:spacing w:after="0" w:line="240" w:lineRule="auto"/>
        <w:ind w:firstLine="709" w:left="1134"/>
        <w:jc w:val="both"/>
        <w:rPr>
          <w:rFonts w:ascii="Times New Roman" w:hAnsi="Times New Roman"/>
          <w:color w:val="273350"/>
          <w:sz w:val="28"/>
        </w:rPr>
      </w:pPr>
      <w:r>
        <w:rPr>
          <w:rFonts w:ascii="Times New Roman" w:hAnsi="Times New Roman"/>
          <w:color w:val="3B4256"/>
          <w:sz w:val="28"/>
          <w:highlight w:val="white"/>
        </w:rPr>
        <w:t>- Найдите контакты отправителя в открытых источниках: на официальных сайтах, в справочниках или через надёжные информационные каналы.</w:t>
      </w:r>
    </w:p>
    <w:p w14:paraId="18000000">
      <w:pPr>
        <w:widowControl w:val="1"/>
        <w:spacing w:after="0" w:line="240" w:lineRule="auto"/>
        <w:ind w:firstLine="709" w:left="1134"/>
        <w:jc w:val="both"/>
        <w:rPr>
          <w:rFonts w:ascii="Times New Roman" w:hAnsi="Times New Roman"/>
          <w:color w:val="273350"/>
          <w:sz w:val="28"/>
        </w:rPr>
      </w:pPr>
      <w:r>
        <w:rPr>
          <w:rFonts w:ascii="Times New Roman" w:hAnsi="Times New Roman"/>
          <w:color w:val="3B4256"/>
          <w:sz w:val="28"/>
          <w:highlight w:val="white"/>
        </w:rPr>
        <w:t>- Свяжитесь с органом напрямую, чтобы уточнить подлинность письма.</w:t>
      </w:r>
    </w:p>
    <w:p w14:paraId="19000000">
      <w:pPr>
        <w:widowControl w:val="1"/>
        <w:spacing w:after="0" w:line="240" w:lineRule="auto"/>
        <w:ind w:firstLine="709" w:left="1134"/>
        <w:jc w:val="both"/>
        <w:rPr>
          <w:rFonts w:ascii="Times New Roman" w:hAnsi="Times New Roman"/>
          <w:color w:val="273350"/>
          <w:sz w:val="28"/>
        </w:rPr>
      </w:pPr>
    </w:p>
    <w:p w14:paraId="1A000000">
      <w:pPr>
        <w:widowControl w:val="1"/>
        <w:spacing w:after="0" w:line="240" w:lineRule="auto"/>
        <w:ind w:firstLine="709" w:left="1134"/>
        <w:jc w:val="both"/>
        <w:rPr>
          <w:rFonts w:ascii="Times New Roman" w:hAnsi="Times New Roman"/>
          <w:color w:val="273350"/>
          <w:sz w:val="28"/>
        </w:rPr>
      </w:pPr>
      <w:r>
        <w:rPr>
          <w:rFonts w:ascii="Times New Roman" w:hAnsi="Times New Roman"/>
          <w:color w:val="3B4256"/>
          <w:sz w:val="28"/>
          <w:highlight w:val="white"/>
        </w:rPr>
        <w:t>Важно: не используйте контактные данные, указанные в самом письме – они могут быть частью обмана!</w:t>
      </w:r>
    </w:p>
    <w:p w14:paraId="1B000000">
      <w:pPr>
        <w:widowControl w:val="1"/>
        <w:spacing w:after="0" w:line="240" w:lineRule="auto"/>
        <w:ind w:firstLine="709" w:left="1134"/>
        <w:jc w:val="both"/>
        <w:rPr>
          <w:rFonts w:ascii="Times New Roman" w:hAnsi="Times New Roman"/>
          <w:color w:val="3B4256"/>
          <w:sz w:val="28"/>
        </w:rPr>
      </w:pPr>
    </w:p>
    <w:p w14:paraId="1C000000">
      <w:pPr>
        <w:widowControl w:val="1"/>
        <w:spacing w:after="0" w:line="240" w:lineRule="auto"/>
        <w:ind w:firstLine="709" w:left="1134"/>
        <w:jc w:val="both"/>
        <w:rPr>
          <w:rFonts w:ascii="Times New Roman" w:hAnsi="Times New Roman"/>
          <w:color w:val="273350"/>
          <w:sz w:val="28"/>
        </w:rPr>
      </w:pPr>
      <w:r>
        <w:rPr>
          <w:rFonts w:ascii="Times New Roman" w:hAnsi="Times New Roman"/>
          <w:color w:val="273350"/>
          <w:sz w:val="28"/>
        </w:rPr>
        <w:t>Распространите информацию среди коллег и знакомых предпринимателей!  </w:t>
      </w:r>
    </w:p>
    <w:p w14:paraId="1D000000">
      <w:pPr>
        <w:widowControl w:val="1"/>
        <w:spacing w:after="0" w:line="240" w:lineRule="auto"/>
        <w:ind w:firstLine="709" w:left="1134"/>
        <w:jc w:val="both"/>
        <w:rPr>
          <w:rFonts w:ascii="Times New Roman" w:hAnsi="Times New Roman"/>
          <w:color w:val="273350"/>
          <w:sz w:val="28"/>
        </w:rPr>
      </w:pPr>
      <w:r>
        <w:rPr>
          <w:rFonts w:ascii="Times New Roman" w:hAnsi="Times New Roman"/>
          <w:color w:val="273350"/>
          <w:sz w:val="28"/>
        </w:rPr>
        <w:t>Давайте вместе противостоять мошенникам!</w:t>
      </w:r>
    </w:p>
    <w:sectPr>
      <w:headerReference r:id="rId2" w:type="default"/>
      <w:footerReference r:id="rId1" w:type="first"/>
      <w:pgSz w:h="16838" w:orient="portrait" w:w="11906"/>
      <w:pgMar w:bottom="1134" w:footer="709" w:gutter="0" w:header="709" w:left="0" w:right="566" w:top="0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1"/>
      <w:tblpPr w:horzAnchor="margin" w:tblpXSpec="right" w:tblpYSpec="outside" w:vertAnchor="page"/>
      <w:tblW w:type="auto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  <w:tblLayout w:type="fixed"/>
      <w:tblCellMar>
        <w:top w:type="dxa" w:w="28"/>
        <w:left w:type="dxa" w:w="28"/>
        <w:bottom w:type="dxa" w:w="28"/>
        <w:right w:type="dxa" w:w="28"/>
      </w:tblCellMar>
    </w:tblPr>
    <w:tblGrid>
      <w:gridCol w:w="2962"/>
    </w:tblGrid>
    <w:tr>
      <w:trPr>
        <w:trHeight w:hRule="atLeast" w:val="57"/>
      </w:trPr>
      <w:tc>
        <w:tcPr>
          <w:tcW w:type="dxa" w:w="2962"/>
          <w:tcBorders>
            <w:top w:color="000000" w:sz="12" w:val="single"/>
            <w:left w:color="000000" w:sz="12" w:val="single"/>
            <w:bottom w:color="000000" w:sz="12" w:val="single"/>
            <w:right w:color="000000" w:sz="12" w:val="single"/>
          </w:tcBorders>
          <w:tcMar>
            <w:top w:type="dxa" w:w="28"/>
            <w:left w:type="dxa" w:w="28"/>
            <w:bottom w:type="dxa" w:w="28"/>
            <w:right w:type="dxa" w:w="28"/>
          </w:tcMar>
        </w:tcPr>
        <w:p w14:paraId="01000000">
          <w:pPr>
            <w:widowControl w:val="1"/>
            <w:spacing w:after="60" w:line="240" w:lineRule="auto"/>
            <w:ind/>
            <w:jc w:val="center"/>
            <w:rPr>
              <w:rFonts w:ascii="Times New Roman" w:hAnsi="Times New Roman"/>
              <w:sz w:val="16"/>
            </w:rPr>
          </w:pPr>
          <w:bookmarkStart w:id="1" w:name="SIGNERORG1"/>
          <w:bookmarkEnd w:id="1"/>
        </w:p>
        <w:p w14:paraId="02000000">
          <w:pPr>
            <w:widowControl w:val="1"/>
            <w:tabs>
              <w:tab w:leader="none" w:pos="413" w:val="left"/>
            </w:tabs>
            <w:spacing w:after="60" w:line="240" w:lineRule="auto"/>
            <w:ind/>
            <w:rPr>
              <w:rFonts w:ascii="Times New Roman" w:hAnsi="Times New Roman"/>
              <w:sz w:val="16"/>
            </w:rPr>
          </w:pPr>
          <w:r>
            <w:rPr>
              <w:rFonts w:ascii="Times New Roman" w:hAnsi="Times New Roman"/>
              <w:sz w:val="16"/>
            </w:rPr>
            <w:t xml:space="preserve"> № </w:t>
          </w:r>
          <w:bookmarkStart w:id="2" w:name="REGNUMSTAMP"/>
          <w:bookmarkEnd w:id="2"/>
        </w:p>
      </w:tc>
    </w:tr>
  </w:tbl>
  <w:p w14:paraId="03000000">
    <w:pPr>
      <w:pStyle w:val="Style_2"/>
      <w:widowControl w:val="1"/>
      <w:spacing w:after="60"/>
      <w:ind/>
    </w:pPr>
  </w:p>
</w:ft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4000000">
    <w:pPr>
      <w:pStyle w:val="Style_3"/>
      <w:widowControl w:val="1"/>
      <w:ind/>
      <w:jc w:val="center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fldChar w:fldCharType="begin"/>
    </w:r>
    <w:r>
      <w:rPr>
        <w:rFonts w:ascii="Times New Roman" w:hAnsi="Times New Roman"/>
        <w:sz w:val="24"/>
      </w:rPr>
      <w:instrText xml:space="preserve">PAGE </w:instrText>
    </w:r>
    <w:r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sz w:val="24"/>
      </w:rPr>
      <w:t xml:space="preserve"> </w:t>
    </w:r>
    <w:r>
      <w:rPr>
        <w:rFonts w:ascii="Times New Roman" w:hAnsi="Times New Roman"/>
        <w:sz w:val="24"/>
      </w:rPr>
      <w:fldChar w:fldCharType="end"/>
    </w:r>
  </w:p>
  <w:p w14:paraId="05000000">
    <w:pPr>
      <w:pStyle w:val="Style_3"/>
    </w:pP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9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1"/>
        <w:spacing w:after="160" w:before="0" w:line="259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</w:style>
  <w:style w:default="1" w:styleId="Style_4_ch" w:type="character">
    <w:name w:val="Normal"/>
    <w:link w:val="Style_4"/>
  </w:style>
  <w:style w:styleId="Style_5" w:type="paragraph">
    <w:name w:val="toc 2"/>
    <w:next w:val="Style_4"/>
    <w:link w:val="Style_5_ch"/>
    <w:uiPriority w:val="39"/>
    <w:pPr>
      <w:widowControl w:val="1"/>
      <w:ind w:left="200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4"/>
    <w:link w:val="Style_6_ch"/>
    <w:uiPriority w:val="39"/>
    <w:pPr>
      <w:widowControl w:val="1"/>
      <w:ind w:left="600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toc 6"/>
    <w:next w:val="Style_4"/>
    <w:link w:val="Style_7_ch"/>
    <w:uiPriority w:val="39"/>
    <w:pPr>
      <w:widowControl w:val="1"/>
      <w:ind w:left="1000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Гиперссылка1"/>
    <w:link w:val="Style_8_ch"/>
    <w:rPr>
      <w:color w:val="0000FF"/>
      <w:u w:val="single"/>
    </w:rPr>
  </w:style>
  <w:style w:styleId="Style_8_ch" w:type="character">
    <w:name w:val="Гиперссылка1"/>
    <w:link w:val="Style_8"/>
    <w:rPr>
      <w:color w:val="0000FF"/>
      <w:u w:val="single"/>
    </w:rPr>
  </w:style>
  <w:style w:styleId="Style_9" w:type="paragraph">
    <w:name w:val="toc 7"/>
    <w:next w:val="Style_4"/>
    <w:link w:val="Style_9_ch"/>
    <w:uiPriority w:val="39"/>
    <w:pPr>
      <w:widowControl w:val="1"/>
      <w:ind w:left="1200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Обычный1"/>
    <w:link w:val="Style_10_ch"/>
  </w:style>
  <w:style w:styleId="Style_10_ch" w:type="character">
    <w:name w:val="Обычный1"/>
    <w:link w:val="Style_10"/>
  </w:style>
  <w:style w:styleId="Style_11" w:type="paragraph">
    <w:name w:val="Endnote"/>
    <w:link w:val="Style_11_ch"/>
    <w:pPr>
      <w:widowControl w:val="1"/>
      <w:ind w:firstLine="851"/>
      <w:jc w:val="both"/>
    </w:pPr>
    <w:rPr>
      <w:rFonts w:ascii="XO Thames" w:hAnsi="XO Thames"/>
    </w:rPr>
  </w:style>
  <w:style w:styleId="Style_11_ch" w:type="character">
    <w:name w:val="Endnote"/>
    <w:link w:val="Style_11"/>
    <w:rPr>
      <w:rFonts w:ascii="XO Thames" w:hAnsi="XO Thames"/>
    </w:rPr>
  </w:style>
  <w:style w:styleId="Style_12" w:type="paragraph">
    <w:name w:val="heading 3"/>
    <w:next w:val="Style_4"/>
    <w:link w:val="Style_12_ch"/>
    <w:uiPriority w:val="9"/>
    <w:qFormat/>
    <w:pPr>
      <w:widowControl w:val="1"/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13" w:type="paragraph">
    <w:name w:val="Balloon Text"/>
    <w:basedOn w:val="Style_4"/>
    <w:link w:val="Style_13_ch"/>
    <w:pPr>
      <w:widowControl w:val="1"/>
      <w:spacing w:after="0" w:line="240" w:lineRule="auto"/>
      <w:ind/>
    </w:pPr>
    <w:rPr>
      <w:rFonts w:ascii="Segoe UI" w:hAnsi="Segoe UI"/>
      <w:sz w:val="18"/>
    </w:rPr>
  </w:style>
  <w:style w:styleId="Style_13_ch" w:type="character">
    <w:name w:val="Balloon Text"/>
    <w:basedOn w:val="Style_4_ch"/>
    <w:link w:val="Style_13"/>
    <w:rPr>
      <w:rFonts w:ascii="Segoe UI" w:hAnsi="Segoe UI"/>
      <w:sz w:val="18"/>
    </w:rPr>
  </w:style>
  <w:style w:styleId="Style_14" w:type="paragraph">
    <w:name w:val="Основной текст + 13 pt"/>
    <w:basedOn w:val="Style_15"/>
    <w:link w:val="Style_14_ch"/>
    <w:rPr>
      <w:sz w:val="26"/>
      <w:highlight w:val="white"/>
    </w:rPr>
  </w:style>
  <w:style w:styleId="Style_14_ch" w:type="character">
    <w:name w:val="Основной текст + 13 pt"/>
    <w:basedOn w:val="Style_15_ch"/>
    <w:link w:val="Style_14"/>
    <w:rPr>
      <w:sz w:val="26"/>
      <w:highlight w:val="white"/>
    </w:rPr>
  </w:style>
  <w:style w:styleId="Style_2" w:type="paragraph">
    <w:name w:val="footer"/>
    <w:basedOn w:val="Style_4"/>
    <w:link w:val="Style_2_ch"/>
    <w:pPr>
      <w:widowControl w:val="1"/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_ch" w:type="character">
    <w:name w:val="footer"/>
    <w:basedOn w:val="Style_4_ch"/>
    <w:link w:val="Style_2"/>
  </w:style>
  <w:style w:styleId="Style_16" w:type="paragraph">
    <w:name w:val="toc 3"/>
    <w:next w:val="Style_4"/>
    <w:link w:val="Style_16_ch"/>
    <w:uiPriority w:val="39"/>
    <w:pPr>
      <w:widowControl w:val="1"/>
      <w:ind w:left="400"/>
    </w:pPr>
    <w:rPr>
      <w:rFonts w:ascii="XO Thames" w:hAnsi="XO Thames"/>
      <w:sz w:val="28"/>
    </w:rPr>
  </w:style>
  <w:style w:styleId="Style_16_ch" w:type="character">
    <w:name w:val="toc 3"/>
    <w:link w:val="Style_16"/>
    <w:rPr>
      <w:rFonts w:ascii="XO Thames" w:hAnsi="XO Thames"/>
      <w:sz w:val="28"/>
    </w:rPr>
  </w:style>
  <w:style w:styleId="Style_17" w:type="paragraph">
    <w:name w:val="Основной шрифт абзаца1"/>
    <w:link w:val="Style_17_ch"/>
  </w:style>
  <w:style w:styleId="Style_17_ch" w:type="character">
    <w:name w:val="Основной шрифт абзаца1"/>
    <w:link w:val="Style_17"/>
  </w:style>
  <w:style w:styleId="Style_18" w:type="paragraph">
    <w:name w:val="Default Paragraph Font"/>
    <w:link w:val="Style_18_ch"/>
  </w:style>
  <w:style w:styleId="Style_18_ch" w:type="character">
    <w:name w:val="Default Paragraph Font"/>
    <w:link w:val="Style_18"/>
  </w:style>
  <w:style w:styleId="Style_19" w:type="paragraph">
    <w:name w:val="heading 5"/>
    <w:next w:val="Style_4"/>
    <w:link w:val="Style_19_ch"/>
    <w:uiPriority w:val="9"/>
    <w:qFormat/>
    <w:pPr>
      <w:widowControl w:val="1"/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9_ch" w:type="character">
    <w:name w:val="heading 5"/>
    <w:link w:val="Style_19"/>
    <w:rPr>
      <w:rFonts w:ascii="XO Thames" w:hAnsi="XO Thames"/>
      <w:b w:val="1"/>
    </w:rPr>
  </w:style>
  <w:style w:styleId="Style_20" w:type="paragraph">
    <w:name w:val="heading 1"/>
    <w:next w:val="Style_4"/>
    <w:link w:val="Style_20_ch"/>
    <w:uiPriority w:val="9"/>
    <w:qFormat/>
    <w:pPr>
      <w:widowControl w:val="1"/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20_ch" w:type="character">
    <w:name w:val="heading 1"/>
    <w:link w:val="Style_20"/>
    <w:rPr>
      <w:rFonts w:ascii="XO Thames" w:hAnsi="XO Thames"/>
      <w:b w:val="1"/>
      <w:sz w:val="32"/>
    </w:rPr>
  </w:style>
  <w:style w:styleId="Style_3" w:type="paragraph">
    <w:name w:val="header"/>
    <w:basedOn w:val="Style_4"/>
    <w:link w:val="Style_3_ch"/>
    <w:pPr>
      <w:widowControl w:val="1"/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3_ch" w:type="character">
    <w:name w:val="header"/>
    <w:basedOn w:val="Style_4_ch"/>
    <w:link w:val="Style_3"/>
  </w:style>
  <w:style w:styleId="Style_21" w:type="paragraph">
    <w:name w:val="Hyperlink"/>
    <w:link w:val="Style_21_ch"/>
    <w:rPr>
      <w:color w:val="0000FF"/>
      <w:u w:val="single"/>
    </w:rPr>
  </w:style>
  <w:style w:styleId="Style_21_ch" w:type="character">
    <w:name w:val="Hyperlink"/>
    <w:link w:val="Style_21"/>
    <w:rPr>
      <w:color w:val="0000FF"/>
      <w:u w:val="single"/>
    </w:rPr>
  </w:style>
  <w:style w:styleId="Style_22" w:type="paragraph">
    <w:name w:val="Footnote"/>
    <w:link w:val="Style_22_ch"/>
    <w:pPr>
      <w:widowControl w:val="1"/>
      <w:ind w:firstLine="851"/>
      <w:jc w:val="both"/>
    </w:pPr>
    <w:rPr>
      <w:rFonts w:ascii="XO Thames" w:hAnsi="XO Thames"/>
    </w:rPr>
  </w:style>
  <w:style w:styleId="Style_22_ch" w:type="character">
    <w:name w:val="Footnote"/>
    <w:link w:val="Style_22"/>
    <w:rPr>
      <w:rFonts w:ascii="XO Thames" w:hAnsi="XO Thames"/>
    </w:rPr>
  </w:style>
  <w:style w:styleId="Style_23" w:type="paragraph">
    <w:name w:val="toc 1"/>
    <w:next w:val="Style_4"/>
    <w:link w:val="Style_23_ch"/>
    <w:uiPriority w:val="39"/>
    <w:rPr>
      <w:rFonts w:ascii="XO Thames" w:hAnsi="XO Thames"/>
      <w:b w:val="1"/>
      <w:sz w:val="28"/>
    </w:rPr>
  </w:style>
  <w:style w:styleId="Style_23_ch" w:type="character">
    <w:name w:val="toc 1"/>
    <w:link w:val="Style_23"/>
    <w:rPr>
      <w:rFonts w:ascii="XO Thames" w:hAnsi="XO Thames"/>
      <w:b w:val="1"/>
      <w:sz w:val="28"/>
    </w:rPr>
  </w:style>
  <w:style w:styleId="Style_24" w:type="paragraph">
    <w:name w:val="Header and Footer"/>
    <w:link w:val="Style_24_ch"/>
    <w:pPr>
      <w:widowControl w:val="1"/>
      <w:spacing w:line="240" w:lineRule="auto"/>
      <w:ind/>
      <w:jc w:val="both"/>
    </w:pPr>
    <w:rPr>
      <w:rFonts w:ascii="XO Thames" w:hAnsi="XO Thames"/>
      <w:sz w:val="28"/>
    </w:rPr>
  </w:style>
  <w:style w:styleId="Style_24_ch" w:type="character">
    <w:name w:val="Header and Footer"/>
    <w:link w:val="Style_24"/>
    <w:rPr>
      <w:rFonts w:ascii="XO Thames" w:hAnsi="XO Thames"/>
      <w:sz w:val="28"/>
    </w:rPr>
  </w:style>
  <w:style w:styleId="Style_25" w:type="paragraph">
    <w:name w:val="List Paragraph"/>
    <w:basedOn w:val="Style_4"/>
    <w:link w:val="Style_25_ch"/>
    <w:pPr>
      <w:widowControl w:val="1"/>
      <w:ind w:left="720"/>
      <w:contextualSpacing w:val="1"/>
    </w:pPr>
  </w:style>
  <w:style w:styleId="Style_25_ch" w:type="character">
    <w:name w:val="List Paragraph"/>
    <w:basedOn w:val="Style_4_ch"/>
    <w:link w:val="Style_25"/>
  </w:style>
  <w:style w:styleId="Style_26" w:type="paragraph">
    <w:name w:val="toc 9"/>
    <w:next w:val="Style_4"/>
    <w:link w:val="Style_26_ch"/>
    <w:uiPriority w:val="39"/>
    <w:pPr>
      <w:widowControl w:val="1"/>
      <w:ind w:left="1600"/>
    </w:pPr>
    <w:rPr>
      <w:rFonts w:ascii="XO Thames" w:hAnsi="XO Thames"/>
      <w:sz w:val="28"/>
    </w:rPr>
  </w:style>
  <w:style w:styleId="Style_26_ch" w:type="character">
    <w:name w:val="toc 9"/>
    <w:link w:val="Style_26"/>
    <w:rPr>
      <w:rFonts w:ascii="XO Thames" w:hAnsi="XO Thames"/>
      <w:sz w:val="28"/>
    </w:rPr>
  </w:style>
  <w:style w:styleId="Style_27" w:type="paragraph">
    <w:name w:val="toc 8"/>
    <w:next w:val="Style_4"/>
    <w:link w:val="Style_27_ch"/>
    <w:uiPriority w:val="39"/>
    <w:pPr>
      <w:widowControl w:val="1"/>
      <w:ind w:left="1400"/>
    </w:pPr>
    <w:rPr>
      <w:rFonts w:ascii="XO Thames" w:hAnsi="XO Thames"/>
      <w:sz w:val="28"/>
    </w:rPr>
  </w:style>
  <w:style w:styleId="Style_27_ch" w:type="character">
    <w:name w:val="toc 8"/>
    <w:link w:val="Style_27"/>
    <w:rPr>
      <w:rFonts w:ascii="XO Thames" w:hAnsi="XO Thames"/>
      <w:sz w:val="28"/>
    </w:rPr>
  </w:style>
  <w:style w:styleId="Style_28" w:type="paragraph">
    <w:name w:val="toc 5"/>
    <w:next w:val="Style_4"/>
    <w:link w:val="Style_28_ch"/>
    <w:uiPriority w:val="39"/>
    <w:pPr>
      <w:widowControl w:val="1"/>
      <w:ind w:left="800"/>
    </w:pPr>
    <w:rPr>
      <w:rFonts w:ascii="XO Thames" w:hAnsi="XO Thames"/>
      <w:sz w:val="28"/>
    </w:rPr>
  </w:style>
  <w:style w:styleId="Style_28_ch" w:type="character">
    <w:name w:val="toc 5"/>
    <w:link w:val="Style_28"/>
    <w:rPr>
      <w:rFonts w:ascii="XO Thames" w:hAnsi="XO Thames"/>
      <w:sz w:val="28"/>
    </w:rPr>
  </w:style>
  <w:style w:styleId="Style_29" w:type="paragraph">
    <w:name w:val="Normal (Web)"/>
    <w:basedOn w:val="Style_4"/>
    <w:link w:val="Style_29_ch"/>
    <w:pPr>
      <w:widowControl w:val="1"/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9_ch" w:type="character">
    <w:name w:val="Normal (Web)"/>
    <w:basedOn w:val="Style_4_ch"/>
    <w:link w:val="Style_29"/>
    <w:rPr>
      <w:rFonts w:ascii="Times New Roman" w:hAnsi="Times New Roman"/>
      <w:sz w:val="24"/>
    </w:rPr>
  </w:style>
  <w:style w:styleId="Style_15" w:type="paragraph">
    <w:name w:val="Основной текст1"/>
    <w:basedOn w:val="Style_4"/>
    <w:link w:val="Style_15_ch"/>
    <w:pPr>
      <w:widowControl w:val="1"/>
      <w:spacing w:after="0" w:line="322" w:lineRule="exact"/>
      <w:ind/>
      <w:jc w:val="both"/>
    </w:pPr>
    <w:rPr>
      <w:rFonts w:ascii="Times New Roman" w:hAnsi="Times New Roman"/>
      <w:sz w:val="27"/>
    </w:rPr>
  </w:style>
  <w:style w:styleId="Style_15_ch" w:type="character">
    <w:name w:val="Основной текст1"/>
    <w:basedOn w:val="Style_4_ch"/>
    <w:link w:val="Style_15"/>
    <w:rPr>
      <w:rFonts w:ascii="Times New Roman" w:hAnsi="Times New Roman"/>
      <w:sz w:val="27"/>
    </w:rPr>
  </w:style>
  <w:style w:styleId="Style_30" w:type="paragraph">
    <w:name w:val="Subtitle"/>
    <w:next w:val="Style_4"/>
    <w:link w:val="Style_30_ch"/>
    <w:uiPriority w:val="11"/>
    <w:qFormat/>
    <w:pPr>
      <w:widowControl w:val="1"/>
      <w:ind/>
      <w:jc w:val="both"/>
    </w:pPr>
    <w:rPr>
      <w:rFonts w:ascii="XO Thames" w:hAnsi="XO Thames"/>
      <w:i w:val="1"/>
      <w:sz w:val="24"/>
    </w:rPr>
  </w:style>
  <w:style w:styleId="Style_30_ch" w:type="character">
    <w:name w:val="Subtitle"/>
    <w:link w:val="Style_30"/>
    <w:rPr>
      <w:rFonts w:ascii="XO Thames" w:hAnsi="XO Thames"/>
      <w:i w:val="1"/>
      <w:sz w:val="24"/>
    </w:rPr>
  </w:style>
  <w:style w:styleId="Style_31" w:type="paragraph">
    <w:name w:val="Title"/>
    <w:next w:val="Style_4"/>
    <w:link w:val="Style_31_ch"/>
    <w:uiPriority w:val="10"/>
    <w:qFormat/>
    <w:pPr>
      <w:widowControl w:val="1"/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1_ch" w:type="character">
    <w:name w:val="Title"/>
    <w:link w:val="Style_31"/>
    <w:rPr>
      <w:rFonts w:ascii="XO Thames" w:hAnsi="XO Thames"/>
      <w:b w:val="1"/>
      <w:caps w:val="1"/>
      <w:sz w:val="40"/>
    </w:rPr>
  </w:style>
  <w:style w:styleId="Style_32" w:type="paragraph">
    <w:name w:val="heading 4"/>
    <w:next w:val="Style_4"/>
    <w:link w:val="Style_32_ch"/>
    <w:uiPriority w:val="9"/>
    <w:qFormat/>
    <w:pPr>
      <w:widowControl w:val="1"/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2_ch" w:type="character">
    <w:name w:val="heading 4"/>
    <w:link w:val="Style_32"/>
    <w:rPr>
      <w:rFonts w:ascii="XO Thames" w:hAnsi="XO Thames"/>
      <w:b w:val="1"/>
      <w:sz w:val="24"/>
    </w:rPr>
  </w:style>
  <w:style w:styleId="Style_33" w:type="paragraph">
    <w:name w:val="heading 2"/>
    <w:next w:val="Style_4"/>
    <w:link w:val="Style_33_ch"/>
    <w:uiPriority w:val="9"/>
    <w:qFormat/>
    <w:pPr>
      <w:widowControl w:val="1"/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3_ch" w:type="character">
    <w:name w:val="heading 2"/>
    <w:link w:val="Style_33"/>
    <w:rPr>
      <w:rFonts w:ascii="XO Thames" w:hAnsi="XO Thames"/>
      <w:b w:val="1"/>
      <w:sz w:val="28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4" w:type="table">
    <w:name w:val="Table Grid"/>
    <w:basedOn w:val="Style_1"/>
    <w:pPr>
      <w:widowControl w:val="1"/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tyles.xml" Type="http://schemas.openxmlformats.org/officeDocument/2006/relationships/styles"/>
  <Relationship Id="rId1" Target="footer1.xml" Type="http://schemas.openxmlformats.org/officeDocument/2006/relationships/footer"/>
  <Relationship Id="rId2" Target="header2.xml" Type="http://schemas.openxmlformats.org/officeDocument/2006/relationships/header"/>
  <Relationship Id="rId3" Target="media/1.png" Type="http://schemas.openxmlformats.org/officeDocument/2006/relationships/image"/>
  <Relationship Id="rId8" Target="webSettings.xml" Type="http://schemas.openxmlformats.org/officeDocument/2006/relationships/webSettings"/>
  <Relationship Id="rId4" Target="fontTable.xml" Type="http://schemas.openxmlformats.org/officeDocument/2006/relationships/fontTable"/>
  <Relationship Id="rId9" Target="theme/theme1.xml" Type="http://schemas.openxmlformats.org/officeDocument/2006/relationships/theme"/>
  <Relationship Id="rId7" Target="stylesWithEffects.xml" Type="http://schemas.microsoft.com/office/2007/relationships/stylesWithEffects"/>
  <Relationship Id="rId5" Target="settings.xml" Type="http://schemas.openxmlformats.org/officeDocument/2006/relationships/setting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MyOffice-CoreFramework-Linux/38-1384.1107.10199.1019.1@18975027e3ee4b688e27426d4a78178cb841a344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2023-03-22T01:52:00Z</dcterms:created>
  <dcterms:modified xsi:type="dcterms:W3CDTF">2026-01-21T03:40:29Z</dcterms:modified>
</cp:coreProperties>
</file>