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зменены правила пересечения границы несовершеннолетними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 xml:space="preserve">С 20.01.2026 вступили в силу изменения в Федеральный закон от 15.08.1996 № 114-ФЗ «О порядке выезда из Российской Федерации и </w:t>
      </w:r>
      <w:r>
        <w:rPr>
          <w:rFonts w:ascii="Times New Roman" w:hAnsi="Times New Roman"/>
          <w:sz w:val="28"/>
        </w:rPr>
        <w:t>въезда в Российскую Федерацию».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поправками, в частности, предусмотрено, что выезд из РФ и въе</w:t>
      </w:r>
      <w:r>
        <w:rPr>
          <w:rFonts w:ascii="Times New Roman" w:hAnsi="Times New Roman"/>
          <w:sz w:val="28"/>
        </w:rPr>
        <w:t>зд в РФ</w:t>
      </w:r>
      <w:r>
        <w:rPr>
          <w:rFonts w:ascii="Times New Roman" w:hAnsi="Times New Roman"/>
          <w:sz w:val="28"/>
        </w:rPr>
        <w:t xml:space="preserve"> гражданами осуществляется по действительным документам, удостоверяющим личность гражданина Российской Федерации за ее пределами, а в случаях, установленных международными договорами РФ, по паспорту гражданина РФ, удостоверяющему личность. Свидетельство о рождении исключено из числа документов для пересече</w:t>
      </w:r>
      <w:r>
        <w:rPr>
          <w:rFonts w:ascii="Times New Roman" w:hAnsi="Times New Roman"/>
          <w:sz w:val="28"/>
        </w:rPr>
        <w:t>ния Государственной границы РФ.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Таким образом, пересечение Государственной границы РФ несовершеннолетними, не достигшими 14 – летнего возраста, осуществляется не по свидетельству о рождении, а по загранпаспорту.</w:t>
      </w:r>
    </w:p>
    <w:p w14:paraId="0E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0F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прокурор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Владимир Дукарт</w:t>
      </w:r>
      <w:r>
        <w:rPr>
          <w:rFonts w:ascii="Times New Roman" w:hAnsi="Times New Roman"/>
          <w:b w:val="1"/>
          <w:sz w:val="28"/>
        </w:rPr>
        <w:t>)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8-924-506-75-13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4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7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8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06.02.2026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3" w:type="paragraph">
    <w:name w:val="List Paragraph"/>
    <w:basedOn w:val="Style_6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5" w:type="paragraph">
    <w:name w:val="Основной текст + 13 pt"/>
    <w:basedOn w:val="Style_16"/>
    <w:link w:val="Style_15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5_ch" w:type="character">
    <w:name w:val="Основной текст + 13 pt"/>
    <w:basedOn w:val="Style_16_ch"/>
    <w:link w:val="Style_15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6" w:type="paragraph">
    <w:name w:val="Основной текст1"/>
    <w:basedOn w:val="Style_6"/>
    <w:link w:val="Style_16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6_ch" w:type="character">
    <w:name w:val="Основной текст1"/>
    <w:basedOn w:val="Style_6_ch"/>
    <w:link w:val="Style_16"/>
    <w:rPr>
      <w:rFonts w:ascii="Times New Roman" w:hAnsi="Times New Roman"/>
      <w:sz w:val="27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Balloon Text"/>
    <w:basedOn w:val="Style_6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6_ch"/>
    <w:link w:val="Style_23"/>
    <w:rPr>
      <w:rFonts w:ascii="Segoe UI" w:hAnsi="Segoe UI"/>
      <w:sz w:val="18"/>
    </w:rPr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2026-04-26T23:50:43Z</dcterms:modified>
</cp:coreProperties>
</file>