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Прокурор разъясняет: </w:t>
      </w:r>
      <w:r>
        <w:rPr>
          <w:rFonts w:ascii="Times New Roman" w:hAnsi="Times New Roman"/>
          <w:sz w:val="26"/>
        </w:rPr>
        <w:t>б</w:t>
      </w:r>
      <w:r>
        <w:rPr>
          <w:rFonts w:ascii="Times New Roman" w:hAnsi="Times New Roman"/>
          <w:sz w:val="26"/>
        </w:rPr>
        <w:t>езопасность детей в сети «Интернет»</w:t>
      </w:r>
    </w:p>
    <w:p w14:paraId="09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</w:p>
    <w:p w14:paraId="0A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bookmarkStart w:id="3" w:name="sub_5003"/>
      <w:r>
        <w:rPr>
          <w:sz w:val="26"/>
        </w:rPr>
        <w:t>Забота о безопасности детей, в том числе в сети «Интернет», а также их здоровье, психическом и нравственном развитии – это общая задача государства, общества, а в первую очередь родителей, которая требует особого внимания и бдительности.</w:t>
      </w:r>
    </w:p>
    <w:p w14:paraId="0B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В соответствии с частью 2 статьи 38 Конституции РФ забота о детях, их воспитание – равное право и обязанность родителей.</w:t>
      </w:r>
    </w:p>
    <w:p w14:paraId="0C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Статьей 63 Семейного кодекса РФ закреплена обязанность родителей заботиться о здоровье, физическом, психическом, духовном и нравственном развитии своих детей.</w:t>
      </w:r>
    </w:p>
    <w:p w14:paraId="0D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Также законодательство предусматривает ответственность родителей за воспитание и развитие своих детей.</w:t>
      </w:r>
    </w:p>
    <w:p w14:paraId="0E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Важно находить время для совместного времяпрепровождения с детьми. Родители, которые уделяют своему ребенку достаточно внимания и заботы, лучше понимают своего ребенка. Через совместную деятельность они узнают о его интересах, мечтах, страхах и проблемах. Это помогает родителям лучше ориентироваться в мире своего ребенка и давать ему необходимую поддержку и заботу.</w:t>
      </w:r>
    </w:p>
    <w:p w14:paraId="0F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Установление доверительных отношений с ребенком в большинстве случаев поможет предотвратить совершение в отношении него преступлений, в том числе в сети «Интернет».</w:t>
      </w:r>
    </w:p>
    <w:p w14:paraId="10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В этих целях:</w:t>
      </w:r>
    </w:p>
    <w:p w14:paraId="11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приучите детей посещать только те сайты, которые Вы разрешили;</w:t>
      </w:r>
    </w:p>
    <w:p w14:paraId="12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примите все меры, чтобы ребенок перед распространением своей личной информации советовался с Вами и предупреждал Вас об этом;</w:t>
      </w:r>
    </w:p>
    <w:p w14:paraId="13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постоянно напоминайте несовершеннолетнему о негативных последствиях, к которым может привести разглашение его личной информации; </w:t>
      </w:r>
    </w:p>
    <w:p w14:paraId="14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беседуйте с детьми о том, что нового они узнали из интернет-ресурсов, появились ли у них новые друзья в социальных сетях, какие темы они обсуждают;</w:t>
      </w:r>
    </w:p>
    <w:p w14:paraId="15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отслеживайте, какими чатами и сайтами пользуется ребенок, в том числе посредством системы «родительский контроль» и </w:t>
      </w:r>
      <w:r>
        <w:rPr>
          <w:sz w:val="26"/>
        </w:rPr>
        <w:t>т.д.</w:t>
      </w:r>
    </w:p>
    <w:p w14:paraId="16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Сеть «Интернет» может представлять собой угрозу для несовершеннолетних, поскольку содержит вредоносную информацию, наносящую вред психическому здоровью и развитию детей, так как именно эта возрастная категория является особенно уязвимой и подверженной влиянию в силу легкомыслия и доверчивости.</w:t>
      </w:r>
    </w:p>
    <w:p w14:paraId="17000000">
      <w:pPr>
        <w:pStyle w:val="Style_4"/>
        <w:widowControl w:val="1"/>
        <w:spacing w:after="0" w:before="0"/>
        <w:ind w:firstLine="709"/>
        <w:jc w:val="both"/>
        <w:rPr>
          <w:sz w:val="26"/>
        </w:rPr>
      </w:pPr>
      <w:r>
        <w:rPr>
          <w:sz w:val="26"/>
        </w:rPr>
        <w:t>Берегите своих детей!</w:t>
      </w:r>
      <w:bookmarkEnd w:id="3"/>
    </w:p>
    <w:p w14:paraId="18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6"/>
        </w:rPr>
      </w:pPr>
    </w:p>
    <w:p w14:paraId="19000000">
      <w:pPr>
        <w:widowControl w:val="1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(Информацию предоставила помощник прокурора района Валерия Бадмаева)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200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D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И.о. прокурора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E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F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Таюрский</w:t>
            </w:r>
          </w:p>
        </w:tc>
      </w:tr>
    </w:tbl>
    <w:p w14:paraId="2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штамп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.06</w:t>
      </w:r>
      <w:r>
        <w:rPr>
          <w:rFonts w:ascii="Times New Roman" w:hAnsi="Times New Roman"/>
          <w:sz w:val="28"/>
        </w:rPr>
        <w:t>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4"/>
    <w:next w:val="Style_6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List Paragraph"/>
    <w:basedOn w:val="Style_6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6_ch"/>
    <w:link w:val="Style_10"/>
  </w:style>
  <w:style w:styleId="Style_11" w:type="paragraph">
    <w:name w:val="toc 6"/>
    <w:next w:val="Style_6"/>
    <w:link w:val="Style_11_ch"/>
    <w:uiPriority w:val="39"/>
    <w:pPr>
      <w:widowControl w:val="1"/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текст + 13 pt"/>
    <w:basedOn w:val="Style_14"/>
    <w:link w:val="Style_13_ch"/>
    <w:rPr>
      <w:sz w:val="26"/>
      <w:highlight w:val="white"/>
    </w:rPr>
  </w:style>
  <w:style w:styleId="Style_13_ch" w:type="character">
    <w:name w:val="Основной текст + 13 pt"/>
    <w:basedOn w:val="Style_14_ch"/>
    <w:link w:val="Style_13"/>
    <w:rPr>
      <w:sz w:val="26"/>
      <w:highlight w:val="white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next w:val="Style_6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8" w:type="paragraph">
    <w:name w:val="toc 3"/>
    <w:next w:val="Style_6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5"/>
    <w:next w:val="Style_6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6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6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7" w:type="paragraph">
    <w:name w:val="toc 9"/>
    <w:next w:val="Style_6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4" w:type="paragraph">
    <w:name w:val="Основной текст1"/>
    <w:basedOn w:val="Style_6"/>
    <w:link w:val="Style_1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4_ch" w:type="character">
    <w:name w:val="Основной текст1"/>
    <w:basedOn w:val="Style_6_ch"/>
    <w:link w:val="Style_14"/>
    <w:rPr>
      <w:rFonts w:ascii="Times New Roman" w:hAnsi="Times New Roman"/>
      <w:sz w:val="27"/>
    </w:rPr>
  </w:style>
  <w:style w:styleId="Style_29" w:type="paragraph">
    <w:name w:val="toc 5"/>
    <w:next w:val="Style_6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alloon Text"/>
    <w:basedOn w:val="Style_6"/>
    <w:link w:val="Style_3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6_ch"/>
    <w:link w:val="Style_31"/>
    <w:rPr>
      <w:rFonts w:ascii="Segoe UI" w:hAnsi="Segoe UI"/>
      <w:sz w:val="18"/>
    </w:rPr>
  </w:style>
  <w:style w:styleId="Style_32" w:type="paragraph">
    <w:name w:val="Title"/>
    <w:next w:val="Style_6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2026-05-31T23:50:08Z</dcterms:modified>
</cp:coreProperties>
</file>