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before="0" w:line="240" w:lineRule="auto"/>
        <w:ind w:righ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Прокурор разъясняет: </w:t>
      </w:r>
      <w:r>
        <w:rPr>
          <w:rFonts w:ascii="Times New Roman" w:hAnsi="Times New Roman"/>
          <w:sz w:val="26"/>
        </w:rPr>
        <w:t>В каких случаях лицо, давшее взятку, освобождается от уголовной ответственности?</w:t>
      </w:r>
    </w:p>
    <w:p w14:paraId="09000000">
      <w:pPr>
        <w:widowControl w:val="1"/>
        <w:spacing w:after="0" w:before="0" w:line="240" w:lineRule="auto"/>
        <w:ind w:right="0"/>
        <w:jc w:val="center"/>
        <w:rPr>
          <w:rFonts w:ascii="Times New Roman" w:hAnsi="Times New Roman"/>
          <w:b w:val="1"/>
          <w:sz w:val="26"/>
        </w:rPr>
      </w:pPr>
    </w:p>
    <w:p w14:paraId="0A000000">
      <w:pPr>
        <w:widowControl w:val="1"/>
        <w:spacing w:after="0" w:before="0" w:line="240" w:lineRule="auto"/>
        <w:ind w:right="0"/>
        <w:jc w:val="center"/>
        <w:rPr>
          <w:rFonts w:ascii="Times New Roman" w:hAnsi="Times New Roman"/>
          <w:b w:val="1"/>
          <w:sz w:val="26"/>
        </w:rPr>
      </w:pPr>
    </w:p>
    <w:p w14:paraId="0B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bookmarkStart w:id="3" w:name="sub_5003"/>
      <w:r>
        <w:rPr>
          <w:sz w:val="26"/>
        </w:rPr>
        <w:t>Условия освобождения лица, давшего взятку, от уголовной ответственности определены в примечании к статье 291 и 291.2 Уголовного кодекса Российской Федерации.</w:t>
      </w:r>
    </w:p>
    <w:p w14:paraId="0C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r>
        <w:rPr>
          <w:sz w:val="26"/>
        </w:rPr>
        <w:t xml:space="preserve">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 </w:t>
      </w:r>
    </w:p>
    <w:p w14:paraId="0D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r>
        <w:rPr>
          <w:sz w:val="26"/>
        </w:rPr>
        <w:t>Таким образом, для освобождения от уголовной ответственности за дачу взятки требуется установить активное способствование раскрытию и (или) расследованию (пресечению) преступления, а также добровольное сообщение о совершенном преступлении либо вымогательство взятки.</w:t>
      </w:r>
    </w:p>
    <w:p w14:paraId="0E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r>
        <w:rPr>
          <w:sz w:val="26"/>
        </w:rPr>
        <w:t>В случае отсутствия одного из двух обязательных условий лицо не может быть освобождено от уголовной ответственности.</w:t>
      </w:r>
    </w:p>
    <w:p w14:paraId="0F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r>
        <w:rPr>
          <w:sz w:val="26"/>
        </w:rPr>
        <w:t>Активное способствование раскрытию преступления означает не только признание себя виновным и чистосердечное признание, но также должно состоять в совершении лицом действий, направленных на изобличение причастных к совершенному преступлению лиц (взяткополучателя, посредника), обнаружение имущества, переданного в качестве взятки, выражаться в предоставлении органам следствия ранее неизвестной им информации, вещественных доказательств и прочими сведениями.</w:t>
      </w:r>
    </w:p>
    <w:p w14:paraId="10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r>
        <w:rPr>
          <w:sz w:val="26"/>
        </w:rPr>
        <w:t xml:space="preserve">Сообщение (письменное или устное) о даче взятки признается добровольным независимо от мотивов, которыми руководствовался заявитель. </w:t>
      </w:r>
    </w:p>
    <w:p w14:paraId="11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r>
        <w:rPr>
          <w:sz w:val="26"/>
        </w:rPr>
        <w:t>Не признается добровольным заявление о даче взятки в связи с задержанием лица по подозрению в совершении этого преступления.</w:t>
      </w:r>
    </w:p>
    <w:p w14:paraId="12000000">
      <w:pPr>
        <w:pStyle w:val="Style_4"/>
        <w:widowControl w:val="1"/>
        <w:spacing w:after="0" w:before="0"/>
        <w:ind w:firstLine="709" w:right="0"/>
        <w:jc w:val="both"/>
        <w:rPr>
          <w:sz w:val="26"/>
        </w:rPr>
      </w:pPr>
      <w:r>
        <w:rPr>
          <w:sz w:val="26"/>
        </w:rPr>
        <w:t>Деньги, ценности и иное имущество, переданные в виде взятки подлежат конфискации и не подлежат возвращению взяткодателю, в том числе в случаях, когда они освобождены от уголовной ответственности на основании соответственно примечания к статье 291, 291.2 УК РФ.</w:t>
      </w:r>
      <w:bookmarkEnd w:id="3"/>
    </w:p>
    <w:p w14:paraId="13000000">
      <w:pPr>
        <w:widowControl w:val="1"/>
        <w:spacing w:after="0" w:before="0" w:line="240" w:lineRule="auto"/>
        <w:ind w:firstLine="708" w:right="0"/>
        <w:jc w:val="both"/>
        <w:rPr>
          <w:rFonts w:ascii="Times New Roman" w:hAnsi="Times New Roman"/>
          <w:sz w:val="26"/>
        </w:rPr>
      </w:pPr>
    </w:p>
    <w:p w14:paraId="14000000">
      <w:pPr>
        <w:widowControl w:val="1"/>
        <w:spacing w:after="0" w:before="0" w:line="240" w:lineRule="auto"/>
        <w:ind w:firstLine="708" w:right="0"/>
        <w:jc w:val="both"/>
        <w:rPr>
          <w:rFonts w:ascii="Times New Roman" w:hAnsi="Times New Roman"/>
          <w:sz w:val="26"/>
        </w:rPr>
      </w:pPr>
    </w:p>
    <w:p w14:paraId="15000000">
      <w:pPr>
        <w:widowControl w:val="1"/>
        <w:spacing w:after="0" w:before="0"/>
        <w:ind w:righ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(Информацию предоставил помощник прокурора района </w:t>
      </w:r>
      <w:r>
        <w:rPr>
          <w:rFonts w:ascii="Times New Roman" w:hAnsi="Times New Roman"/>
          <w:b w:val="1"/>
          <w:sz w:val="26"/>
        </w:rPr>
        <w:t xml:space="preserve">Константин </w:t>
      </w:r>
      <w:r>
        <w:rPr>
          <w:rFonts w:ascii="Times New Roman" w:hAnsi="Times New Roman"/>
          <w:b w:val="1"/>
          <w:sz w:val="26"/>
        </w:rPr>
        <w:t>Елгин</w:t>
      </w:r>
      <w:r>
        <w:rPr>
          <w:rFonts w:ascii="Times New Roman" w:hAnsi="Times New Roman"/>
          <w:b w:val="1"/>
          <w:sz w:val="26"/>
        </w:rPr>
        <w:t>)</w:t>
      </w:r>
    </w:p>
    <w:p w14:paraId="16000000">
      <w:pPr>
        <w:spacing w:after="0" w:before="0"/>
        <w:ind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телефон: 8-914-</w:t>
      </w:r>
      <w:r>
        <w:rPr>
          <w:rFonts w:ascii="Times New Roman" w:hAnsi="Times New Roman"/>
          <w:sz w:val="26"/>
        </w:rPr>
        <w:t>122-21-57</w:t>
      </w:r>
    </w:p>
    <w:p w14:paraId="17000000">
      <w:pPr>
        <w:widowControl w:val="1"/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before="0" w:line="240" w:lineRule="auto"/>
        <w:ind w:right="0"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И.о. прокурора района </w:t>
            </w:r>
          </w:p>
        </w:tc>
        <w:tc>
          <w:tcPr>
            <w:tcW w:type="dxa" w:w="1286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B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C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Таюрский</w:t>
            </w:r>
          </w:p>
        </w:tc>
      </w:tr>
    </w:tbl>
    <w:p w14:paraId="1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штамп</w:t>
      </w: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.06</w:t>
      </w:r>
      <w:r>
        <w:rPr>
          <w:rFonts w:ascii="Times New Roman" w:hAnsi="Times New Roman"/>
          <w:sz w:val="28"/>
        </w:rPr>
        <w:t>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сновной текст1"/>
    <w:basedOn w:val="Style_6"/>
    <w:link w:val="Style_9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9_ch" w:type="character">
    <w:name w:val="Основной текст1"/>
    <w:basedOn w:val="Style_6_ch"/>
    <w:link w:val="Style_9"/>
    <w:rPr>
      <w:rFonts w:ascii="Times New Roman" w:hAnsi="Times New Roman"/>
      <w:sz w:val="27"/>
    </w:rPr>
  </w:style>
  <w:style w:styleId="Style_10" w:type="paragraph">
    <w:name w:val="toc 6"/>
    <w:next w:val="Style_6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Основной текст + 13 pt"/>
    <w:basedOn w:val="Style_9"/>
    <w:link w:val="Style_14_ch"/>
    <w:rPr>
      <w:sz w:val="26"/>
      <w:highlight w:val="white"/>
    </w:rPr>
  </w:style>
  <w:style w:styleId="Style_14_ch" w:type="character">
    <w:name w:val="Основной текст + 13 pt"/>
    <w:basedOn w:val="Style_9_ch"/>
    <w:link w:val="Style_14"/>
    <w:rPr>
      <w:sz w:val="26"/>
      <w:highlight w:val="white"/>
    </w:rPr>
  </w:style>
  <w:style w:styleId="Style_15" w:type="paragraph">
    <w:name w:val="toc 3"/>
    <w:next w:val="Style_6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Paragraph"/>
    <w:basedOn w:val="Style_6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6_ch"/>
    <w:link w:val="Style_16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21" w:type="paragraph">
    <w:name w:val="toc 1"/>
    <w:next w:val="Style_6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toc 8"/>
    <w:next w:val="Style_6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toc 5"/>
    <w:next w:val="Style_6"/>
    <w:link w:val="Style_27_ch"/>
    <w:uiPriority w:val="39"/>
    <w:pPr>
      <w:widowControl w:val="1"/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Balloon Text"/>
    <w:basedOn w:val="Style_6"/>
    <w:link w:val="Style_2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9_ch" w:type="character">
    <w:name w:val="Balloon Text"/>
    <w:basedOn w:val="Style_6_ch"/>
    <w:link w:val="Style_29"/>
    <w:rPr>
      <w:rFonts w:ascii="Segoe UI" w:hAnsi="Segoe UI"/>
      <w:sz w:val="1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itle"/>
    <w:next w:val="Style_6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Гиперссылка1"/>
    <w:link w:val="Style_32_ch"/>
    <w:rPr>
      <w:color w:val="0000FF"/>
      <w:u w:val="single"/>
    </w:rPr>
  </w:style>
  <w:style w:styleId="Style_32_ch" w:type="character">
    <w:name w:val="Гиперссылка1"/>
    <w:link w:val="Style_32"/>
    <w:rPr>
      <w:color w:val="0000FF"/>
      <w:u w:val="single"/>
    </w:rPr>
  </w:style>
  <w:style w:styleId="Style_33" w:type="paragraph">
    <w:name w:val="heading 4"/>
    <w:next w:val="Style_6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6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2026-05-31T23:55:35Z</dcterms:modified>
</cp:coreProperties>
</file>