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D5" w:rsidRPr="009D1DD5" w:rsidRDefault="009D1DD5" w:rsidP="009D1DD5">
      <w:pPr>
        <w:shd w:val="clear" w:color="auto" w:fill="FFFFFF"/>
        <w:spacing w:after="0" w:line="240" w:lineRule="auto"/>
        <w:outlineLvl w:val="0"/>
        <w:rPr>
          <w:rFonts w:ascii="DIN Pro Cond" w:eastAsia="Times New Roman" w:hAnsi="DIN Pro Cond" w:cs="Times New Roman"/>
          <w:b/>
          <w:color w:val="212529"/>
          <w:kern w:val="36"/>
          <w:sz w:val="36"/>
          <w:szCs w:val="36"/>
          <w:lang w:eastAsia="ru-RU"/>
        </w:rPr>
      </w:pPr>
      <w:bookmarkStart w:id="0" w:name="_GoBack"/>
      <w:r w:rsidRPr="009D1DD5">
        <w:rPr>
          <w:rFonts w:ascii="DIN Pro Cond" w:eastAsia="Times New Roman" w:hAnsi="DIN Pro Cond" w:cs="Times New Roman"/>
          <w:b/>
          <w:color w:val="212529"/>
          <w:kern w:val="36"/>
          <w:sz w:val="36"/>
          <w:szCs w:val="36"/>
          <w:lang w:eastAsia="ru-RU"/>
        </w:rPr>
        <w:t xml:space="preserve">Новый </w:t>
      </w:r>
      <w:proofErr w:type="spellStart"/>
      <w:r w:rsidRPr="009D1DD5">
        <w:rPr>
          <w:rFonts w:ascii="DIN Pro Cond" w:eastAsia="Times New Roman" w:hAnsi="DIN Pro Cond" w:cs="Times New Roman"/>
          <w:b/>
          <w:color w:val="212529"/>
          <w:kern w:val="36"/>
          <w:sz w:val="36"/>
          <w:szCs w:val="36"/>
          <w:lang w:eastAsia="ru-RU"/>
        </w:rPr>
        <w:t>Профстандарт</w:t>
      </w:r>
      <w:proofErr w:type="spellEnd"/>
      <w:r w:rsidRPr="009D1DD5">
        <w:rPr>
          <w:rFonts w:ascii="DIN Pro Cond" w:eastAsia="Times New Roman" w:hAnsi="DIN Pro Cond" w:cs="Times New Roman"/>
          <w:b/>
          <w:color w:val="212529"/>
          <w:kern w:val="36"/>
          <w:sz w:val="36"/>
          <w:szCs w:val="36"/>
          <w:lang w:eastAsia="ru-RU"/>
        </w:rPr>
        <w:t xml:space="preserve"> для специалиста по охране труда 2026</w:t>
      </w:r>
      <w:bookmarkEnd w:id="0"/>
      <w:r w:rsidRPr="009D1DD5">
        <w:rPr>
          <w:rFonts w:ascii="DIN Pro Cond" w:eastAsia="Times New Roman" w:hAnsi="DIN Pro Cond" w:cs="Times New Roman"/>
          <w:b/>
          <w:color w:val="212529"/>
          <w:kern w:val="36"/>
          <w:sz w:val="36"/>
          <w:szCs w:val="36"/>
          <w:lang w:eastAsia="ru-RU"/>
        </w:rPr>
        <w:t>: Эволюция роли от контролера до стратегического риск-менеджера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570" w:lineRule="atLeast"/>
        <w:outlineLvl w:val="1"/>
        <w:rPr>
          <w:rFonts w:ascii="DIN Pro Cond" w:eastAsia="Times New Roman" w:hAnsi="DIN Pro Cond" w:cs="Times New Roman"/>
          <w:color w:val="212529"/>
          <w:sz w:val="48"/>
          <w:szCs w:val="48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48"/>
          <w:szCs w:val="48"/>
          <w:lang w:eastAsia="ru-RU"/>
        </w:rPr>
        <w:t>Введение: Необходимость трансформации и новые горизонты профессии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Уважаемые коллеги, специалисты по охране труда и руководители! Профессия специалиста по охране труда (ОТ) стоит на пороге фундаментальных изменений. Минтруд России инициировал пересмотр ключевого документа, регламентирующего нашу деятельность, — профессионального стандарта. Проект нового стандарта </w:t>
      </w: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«Специалист в области охраны труда» (ID проекта 01/02/10-25/00161532)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— это не просто очередная редакция, а полноценная смена парадигмы.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Действующий стандарт, при всей его значимости, часто ограничивал роль специалиста по ОТ функциями надзора и контроля за соблюдением нормативных требований. Это формировало образ «контролера», чья основная задача — зафиксировать нарушения и обеспечить документальное соответствие. Однако современное производство и бизнес-процессы требуют иного подхода.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С </w:t>
      </w: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1 марта 2026 года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, когда новый </w:t>
      </w:r>
      <w:proofErr w:type="spellStart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профстандарт</w:t>
      </w:r>
      <w:proofErr w:type="spellEnd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 планируется к введению, от специалиста потребуется стать стратегическим партнером бизнеса, архитектором безопасной производственной среды и, в первую очередь, — </w:t>
      </w: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эффективным риск-менеджером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В этой статье мы подробно разберем, какие ключевые изменения нас ждут, как трансформируется функционал специалиста и что нужно сделать уже сегодня, чтобы соответствовать требованиям завтрашнего дня.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570" w:lineRule="atLeast"/>
        <w:outlineLvl w:val="1"/>
        <w:rPr>
          <w:rFonts w:ascii="DIN Pro Cond" w:eastAsia="Times New Roman" w:hAnsi="DIN Pro Cond" w:cs="Times New Roman"/>
          <w:color w:val="212529"/>
          <w:sz w:val="48"/>
          <w:szCs w:val="48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48"/>
          <w:szCs w:val="48"/>
          <w:lang w:eastAsia="ru-RU"/>
        </w:rPr>
        <w:t xml:space="preserve">Ключевые изменения в </w:t>
      </w:r>
      <w:proofErr w:type="spellStart"/>
      <w:r w:rsidRPr="009D1DD5">
        <w:rPr>
          <w:rFonts w:ascii="DIN Pro Cond" w:eastAsia="Times New Roman" w:hAnsi="DIN Pro Cond" w:cs="Times New Roman"/>
          <w:b/>
          <w:bCs/>
          <w:color w:val="212529"/>
          <w:sz w:val="48"/>
          <w:szCs w:val="48"/>
          <w:lang w:eastAsia="ru-RU"/>
        </w:rPr>
        <w:t>профстандарте</w:t>
      </w:r>
      <w:proofErr w:type="spellEnd"/>
      <w:r w:rsidRPr="009D1DD5">
        <w:rPr>
          <w:rFonts w:ascii="DIN Pro Cond" w:eastAsia="Times New Roman" w:hAnsi="DIN Pro Cond" w:cs="Times New Roman"/>
          <w:b/>
          <w:bCs/>
          <w:color w:val="212529"/>
          <w:sz w:val="48"/>
          <w:szCs w:val="48"/>
          <w:lang w:eastAsia="ru-RU"/>
        </w:rPr>
        <w:t>: от формальных функций к стратегическим задачам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Новый проект </w:t>
      </w:r>
      <w:proofErr w:type="spellStart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профстандарта</w:t>
      </w:r>
      <w:proofErr w:type="spellEnd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 кардинально меняет акценты. Давайте рассмотрим основные нововведения, которые напрямую повлияют на ежедневную работу каждого специалиста.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outlineLvl w:val="2"/>
        <w:rPr>
          <w:rFonts w:ascii="DIN Pro Cond" w:eastAsia="Times New Roman" w:hAnsi="DIN Pro Cond" w:cs="Times New Roman"/>
          <w:color w:val="212529"/>
          <w:sz w:val="27"/>
          <w:szCs w:val="27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27"/>
          <w:szCs w:val="27"/>
          <w:lang w:eastAsia="ru-RU"/>
        </w:rPr>
        <w:lastRenderedPageBreak/>
        <w:t> 1. Новое определение миссии: превентивный подход в основе всего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Впервые в стандарте дается четкое и емкое описание вида профессиональной деятельности. Это не просто формальность, а определение главной цели профессии. Согласно проекту, деятельность специалиста по ОТ — это:</w:t>
      </w:r>
    </w:p>
    <w:p w:rsidR="009D1DD5" w:rsidRPr="009D1DD5" w:rsidRDefault="009D1DD5" w:rsidP="009D1D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Предотвращение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случаев производственного травматизма и профессиональных заболеваний.</w:t>
      </w:r>
    </w:p>
    <w:p w:rsidR="009D1DD5" w:rsidRPr="009D1DD5" w:rsidRDefault="009D1DD5" w:rsidP="009D1D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Выявление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опасностей.</w:t>
      </w:r>
    </w:p>
    <w:p w:rsidR="009D1DD5" w:rsidRPr="009D1DD5" w:rsidRDefault="009D1DD5" w:rsidP="009D1D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Оценка и снижение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уровней профессиональных рисков.</w:t>
      </w:r>
    </w:p>
    <w:p w:rsidR="009D1DD5" w:rsidRPr="009D1DD5" w:rsidRDefault="009D1DD5" w:rsidP="009D1D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Разработка мероприятий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по улучшению условий и охраны труда.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Что это значит на практике?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 Акцент смещается с реакции на уже произошедшие инциденты (расследование несчастных случаев) на </w:t>
      </w:r>
      <w:proofErr w:type="spellStart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проактивную</w:t>
      </w:r>
      <w:proofErr w:type="spellEnd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 работу по их недопущению. Ядром компетенций становится умение видеть риски до того, как они реализуются.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outlineLvl w:val="2"/>
        <w:rPr>
          <w:rFonts w:ascii="DIN Pro Cond" w:eastAsia="Times New Roman" w:hAnsi="DIN Pro Cond" w:cs="Times New Roman"/>
          <w:color w:val="212529"/>
          <w:sz w:val="27"/>
          <w:szCs w:val="27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27"/>
          <w:szCs w:val="27"/>
          <w:lang w:eastAsia="ru-RU"/>
        </w:rPr>
        <w:t>2. Расширение поля деятельности: новый код ОКВЭД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В перечень видов экономической деятельности, где применим стандарт, добавляется код </w:t>
      </w: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ОКВЭД 71.20.7 «Деятельность по оценке условий труда»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. Это логичный шаг, который официально закрепляет за специалистом по ОТ компетенции в области анализа и оценки производственной среды, включая участие и контроль за проведением специальной оценки условий труда (СОУТ).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outlineLvl w:val="2"/>
        <w:rPr>
          <w:rFonts w:ascii="DIN Pro Cond" w:eastAsia="Times New Roman" w:hAnsi="DIN Pro Cond" w:cs="Times New Roman"/>
          <w:color w:val="212529"/>
          <w:sz w:val="27"/>
          <w:szCs w:val="27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27"/>
          <w:szCs w:val="27"/>
          <w:lang w:eastAsia="ru-RU"/>
        </w:rPr>
        <w:t> 3. Трансформация трудовых функций: ядро грядущих изменений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Наиболее показательным изменением является пересмотр обобщенных трудовых функций (ОТФ). Если раньше высший уровень квалификации был сосредоточен на «обеспечении функционирования СУОТ», то теперь он звучит совершенно иначе.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5852"/>
      </w:tblGrid>
      <w:tr w:rsidR="009D1DD5" w:rsidRPr="009D1DD5" w:rsidTr="009D1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DD5" w:rsidRPr="009D1DD5" w:rsidRDefault="009D1DD5" w:rsidP="009D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(примерная суть)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DD5" w:rsidRPr="009D1DD5" w:rsidRDefault="009D1DD5" w:rsidP="009D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Станет (согласно проекту)</w:t>
            </w:r>
          </w:p>
        </w:tc>
      </w:tr>
      <w:tr w:rsidR="009D1DD5" w:rsidRPr="009D1DD5" w:rsidTr="009D1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DD5" w:rsidRPr="009D1DD5" w:rsidRDefault="009D1DD5" w:rsidP="009D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СУОТ в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DD5" w:rsidRPr="009D1DD5" w:rsidRDefault="009D1DD5" w:rsidP="009D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Стратегическое управление профессиональными рисками и культурой безопасности в организации</w:t>
            </w:r>
          </w:p>
        </w:tc>
      </w:tr>
    </w:tbl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Эта замена — ключевой маркер эволюции роли. Вместо поддержания существующей системы (функционирование) — ее стратегическое развитие и управление.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lastRenderedPageBreak/>
        <w:t>Кроме того, появляются абсолютно новые трудовые функции (ТФ), которые ранее не были так четко выделены:</w:t>
      </w:r>
    </w:p>
    <w:p w:rsidR="009D1DD5" w:rsidRPr="009D1DD5" w:rsidRDefault="009D1DD5" w:rsidP="009D1DD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Мониторинг СУОТ: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не просто сбор данных, а их анализ для принятия управленческих решений.</w:t>
      </w:r>
    </w:p>
    <w:p w:rsidR="009D1DD5" w:rsidRPr="009D1DD5" w:rsidRDefault="009D1DD5" w:rsidP="009D1DD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Определение целей СУОТ: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постановка измеримых и достижимых целей в области безопасности, увязанных с бизнес-целями компании.</w:t>
      </w:r>
    </w:p>
    <w:p w:rsidR="009D1DD5" w:rsidRPr="009D1DD5" w:rsidRDefault="009D1DD5" w:rsidP="009D1DD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Стратегия культуры безопасности: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разработка и реализация долгосрочной программы по формированию осознанного и ответственного отношения к безопасности у каждого сотрудника.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570" w:lineRule="atLeast"/>
        <w:outlineLvl w:val="1"/>
        <w:rPr>
          <w:rFonts w:ascii="DIN Pro Cond" w:eastAsia="Times New Roman" w:hAnsi="DIN Pro Cond" w:cs="Times New Roman"/>
          <w:color w:val="212529"/>
          <w:sz w:val="48"/>
          <w:szCs w:val="48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48"/>
          <w:szCs w:val="48"/>
          <w:lang w:eastAsia="ru-RU"/>
        </w:rPr>
        <w:t>Стратегическое управление рисками: новая ключевая компетенция специалиста по ОТ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Если раньше оценка профессиональных рисков (ОПР) была одной из многих задач, то новый стандарт выводит ее на первый план, делая центральным элементом всей системы управления охраной труда.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От формального контроля к риск-ориентированному подходу.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br/>
        <w:t xml:space="preserve">Новый </w:t>
      </w:r>
      <w:proofErr w:type="spellStart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профстандарт</w:t>
      </w:r>
      <w:proofErr w:type="spellEnd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 требует перейти от простого выполнения предписаний к глубокому анализу производственных процессов. Специалист по ОТ должен не только знать, какие требования нарушены, но и понимать, почему они нарушены, к каким последствиям это может привести и как системно устранить первопричину риска.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Этот подход полностью меняет характер работы:</w:t>
      </w:r>
    </w:p>
    <w:p w:rsidR="009D1DD5" w:rsidRPr="009D1DD5" w:rsidRDefault="009D1DD5" w:rsidP="009D1D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Вместо поиска нарушений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— выявление и оценка опасностей.</w:t>
      </w:r>
    </w:p>
    <w:p w:rsidR="009D1DD5" w:rsidRPr="009D1DD5" w:rsidRDefault="009D1DD5" w:rsidP="009D1D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Вместо составления предписаний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— разработка компенсирующих и предупреждающих мероприятий.</w:t>
      </w:r>
    </w:p>
    <w:p w:rsidR="009D1DD5" w:rsidRPr="009D1DD5" w:rsidRDefault="009D1DD5" w:rsidP="009D1D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Вместо реакции на инцидент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 — </w:t>
      </w:r>
      <w:proofErr w:type="spellStart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проактивное</w:t>
      </w:r>
      <w:proofErr w:type="spellEnd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 управление вероятностью его возникновения.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Необходимость этих изменений подтверждается и статистикой. По данным, озвученным в </w:t>
      </w: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письме Минтруда России №15-3/10/В-11850 (сентябрь 2025 г.)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, несмотря на все принимаемые меры, уровень производственного травматизма в ряде отраслей остается высоким. Это стало одним из ключевых драйверов для пересмотра стандарта и усиления фокуса именно на превентивном управлении рисками.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570" w:lineRule="atLeast"/>
        <w:outlineLvl w:val="1"/>
        <w:rPr>
          <w:rFonts w:ascii="DIN Pro Cond" w:eastAsia="Times New Roman" w:hAnsi="DIN Pro Cond" w:cs="Times New Roman"/>
          <w:color w:val="212529"/>
          <w:sz w:val="48"/>
          <w:szCs w:val="48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48"/>
          <w:szCs w:val="48"/>
          <w:lang w:eastAsia="ru-RU"/>
        </w:rPr>
        <w:lastRenderedPageBreak/>
        <w:t>Культура безопасности: когда «мягкие навыки» становятся твердым требованием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Еще одно революционное нововведение — это введение в </w:t>
      </w:r>
      <w:proofErr w:type="spellStart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профстандарт</w:t>
      </w:r>
      <w:proofErr w:type="spellEnd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 понятия </w:t>
      </w: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«культуры безопасности»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как объекта управления. Безопасность перестает быть зоной ответственности одного специалиста и становится коллективной ценностью.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В контексте нового стандарта, культура безопасности — это не просто плакаты и инструктажи. Это система ценностей и поведенческих моделей, разделяемых всеми сотрудниками — от генерального директора до рядового рабочего.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Роль специалиста по ОТ трансформируется: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из инспектора он превращается в лидера изменений, наставника и коммуникатора. Теперь в перечень его обязательных умений и знаний войдут:</w:t>
      </w:r>
    </w:p>
    <w:p w:rsidR="009D1DD5" w:rsidRPr="009D1DD5" w:rsidRDefault="009D1DD5" w:rsidP="009D1D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Коммуникативные навыки: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умение убеждать, вести диалог с руководством и работниками, доносить важность ОТ на языке бизнеса.</w:t>
      </w:r>
    </w:p>
    <w:p w:rsidR="009D1DD5" w:rsidRPr="009D1DD5" w:rsidRDefault="009D1DD5" w:rsidP="009D1D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Навыки обучения и мотивации: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разработка и проведение эффективных обучающих программ, вовлечение персонала в процессы обеспечения безопасности.</w:t>
      </w:r>
    </w:p>
    <w:p w:rsidR="009D1DD5" w:rsidRPr="009D1DD5" w:rsidRDefault="009D1DD5" w:rsidP="009D1D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b/>
          <w:bCs/>
          <w:color w:val="212529"/>
          <w:sz w:val="30"/>
          <w:szCs w:val="30"/>
          <w:lang w:eastAsia="ru-RU"/>
        </w:rPr>
        <w:t>Лидерские качества:</w:t>
      </w: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 способность формировать команду единомышленников и вести за собой, продвигая идеи безопасного труда на всех уровнях организации.</w:t>
      </w:r>
    </w:p>
    <w:p w:rsidR="009D1DD5" w:rsidRPr="009D1DD5" w:rsidRDefault="009D1DD5" w:rsidP="009D1DD5">
      <w:pPr>
        <w:shd w:val="clear" w:color="auto" w:fill="FFFFFF"/>
        <w:spacing w:beforeAutospacing="1" w:after="0" w:afterAutospacing="1" w:line="240" w:lineRule="auto"/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</w:pPr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Таким образом, новый </w:t>
      </w:r>
      <w:proofErr w:type="spellStart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>профстандарт</w:t>
      </w:r>
      <w:proofErr w:type="spellEnd"/>
      <w:r w:rsidRPr="009D1DD5">
        <w:rPr>
          <w:rFonts w:ascii="DIN Pro Cond" w:eastAsia="Times New Roman" w:hAnsi="DIN Pro Cond" w:cs="Times New Roman"/>
          <w:color w:val="212529"/>
          <w:sz w:val="30"/>
          <w:szCs w:val="30"/>
          <w:lang w:eastAsia="ru-RU"/>
        </w:rPr>
        <w:t xml:space="preserve"> требует от специалиста по ОТ быть не только техническим экспертом, но и психологом, педагогом и стратегом.</w:t>
      </w:r>
    </w:p>
    <w:p w:rsidR="00D81AB1" w:rsidRDefault="00D81AB1"/>
    <w:sectPr w:rsidR="00D8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D2183"/>
    <w:multiLevelType w:val="multilevel"/>
    <w:tmpl w:val="CF7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80460"/>
    <w:multiLevelType w:val="multilevel"/>
    <w:tmpl w:val="274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23A4D"/>
    <w:multiLevelType w:val="multilevel"/>
    <w:tmpl w:val="B022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200A0"/>
    <w:multiLevelType w:val="multilevel"/>
    <w:tmpl w:val="407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D5"/>
    <w:rsid w:val="009D1DD5"/>
    <w:rsid w:val="00D8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E3324-9440-4DC9-B88E-12FB8572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2026-05-27T07:05:00Z</dcterms:created>
  <dcterms:modified xsi:type="dcterms:W3CDTF">2026-05-27T07:06:00Z</dcterms:modified>
</cp:coreProperties>
</file>