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FF1" w:rsidRPr="00CE4FF1" w:rsidRDefault="00CE4FF1" w:rsidP="00CE4FF1">
      <w:pPr>
        <w:shd w:val="clear" w:color="auto" w:fill="3D4B88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FFFFFF"/>
          <w:kern w:val="36"/>
          <w:sz w:val="36"/>
          <w:szCs w:val="36"/>
          <w:lang w:eastAsia="ru-RU"/>
        </w:rPr>
      </w:pPr>
      <w:bookmarkStart w:id="0" w:name="_GoBack"/>
      <w:r w:rsidRPr="00CE4FF1">
        <w:rPr>
          <w:rFonts w:ascii="Times New Roman" w:eastAsia="Times New Roman" w:hAnsi="Times New Roman" w:cs="Times New Roman"/>
          <w:b/>
          <w:color w:val="FFFFFF"/>
          <w:kern w:val="36"/>
          <w:sz w:val="36"/>
          <w:szCs w:val="36"/>
          <w:lang w:eastAsia="ru-RU"/>
        </w:rPr>
        <w:t>Безопасная работа подрядчиков: как распределить ответственность на территории заказчика</w:t>
      </w:r>
    </w:p>
    <w:bookmarkEnd w:id="0"/>
    <w:p w:rsidR="00CE4FF1" w:rsidRDefault="00CE4FF1" w:rsidP="00CE4FF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CE4FF1" w:rsidRPr="00CE4FF1" w:rsidRDefault="00CE4FF1" w:rsidP="00CE4FF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E4FF1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6357537A" wp14:editId="5F9718E6">
            <wp:extent cx="4572000" cy="2609850"/>
            <wp:effectExtent l="0" t="0" r="0" b="0"/>
            <wp:docPr id="1" name="Рисунок 1" descr="Безопасная работа подрядчиков: как распределить ответственность на территории заказч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езопасная работа подрядчиков: как распределить ответственность на территории заказчик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color w:val="9E9E9E"/>
          <w:sz w:val="21"/>
          <w:szCs w:val="21"/>
          <w:lang w:eastAsia="ru-RU"/>
        </w:rPr>
      </w:pPr>
    </w:p>
    <w:p w:rsidR="00CE4FF1" w:rsidRP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Начните с границы контроля, а не с общего пункта договора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Фраза «подрядчик отвечает за своих работников» не решает, кто управляет движением транспорта, отключает энергию, допускает в техническое помещение и останавливает соседнюю установку. На территории заказчика часть рисков создается инфраструктурой площадки, другая часть — способом выполнения подрядной работы. Эти зоны необходимо состыковать до выхода бригады.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Составьте схему территории и обозначьте на ней места работ, маршруты людей и техники, зоны хранения, санитарные помещения, пункты первой помощи и пути эвакуации. Рядом с каждой зоной укажите лицо, которое вправе изменить режим или прекратить работу. Так абстрактное распределение обязанностей превратится в понятные полномочия.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Контролирующий территорию работодатель не принимает на себя все обязанности другого работодателя. Подрядчик остается ответственным за подготовку своих работников, исправность привезенного инструмента и соблюдение требований при выполнении порученной работы. Но заказчик должен передать сведения о рисках площадки и организовать те совместные меры, которые невозможно выполнить одной стороне.</w:t>
      </w:r>
    </w:p>
    <w:p w:rsidR="00CE4FF1" w:rsidRP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Соберите матрицу из четырех блоков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Вместо длинного приложения к договору используйте рабочую матрицу. В строках укажите действия, а в четырех колонках — инициатора, исполнителя, подтверждение и правило остановки.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Первый блок — обмен информацией. Заказчик передает сведения о действующих опасностях, ограничениях, аварийных сигналах и одновременных работах. Подрядчик сообщает состав бригады, применяемую технологию, оборудование, </w:t>
      </w: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материалы и работы повышенной опасности. Обмен завершается не подписью «ознакомлен», а проверкой противоречий: не пересекается ли маршрут крана с местом разгрузки, не запланирована ли продувка рядом с огневыми работами.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Второй блок — допуск. Определите, кто проверяет документы работников, кто оформляет наряд или иное разрешение, кто подтверждает отключение энергии и кто открывает помещение. Если процедур несколько, укажите последовательность. Работник не должен выбирать, какое из двух разрешений считать главным.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Третий блок — совместный контроль. Назначьте представителей обеих сторон, периодичность обхода и способ регистрации замечаний. В журнале или электронной форме фиксируйте не только нарушение, но и владельца меры, срок устранения и условие возобновления работ.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Четвертый блок — реагирование. В нем нужны единый номер связи, место сбора, порядок вызова экстренных служб, лицо для встречи подразделений и правила сохранения обстановки после происшествия. Проверьте, доступна ли эта информация ночной смене и субподрядчику, а не только руководителю проекта.</w:t>
      </w:r>
    </w:p>
    <w:p w:rsidR="00CE4FF1" w:rsidRP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Проведите короткую координацию перед сменой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Даже качественная схема устаревает, если на площадке меняется обстановка. Перед началом смены представители сторон сверяют одновременные работы, отключения, маршруты и ограничения. Такая встреча может занимать десять минут, если используется постоянная форма.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Попросите каждого руководителя назвать три вещи: где работает его бригада, какой опасный этап ожидается сегодня и какое событие потребует немедленной остановки. Если ответы конфликтуют, работу не начинают до согласования. Например, подрядчик планирует подъем груза, а заказчик — движение погрузчиков под той же зоной.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Условие остановки формулируйте наблюдаемым событием. «При возникновении опасности» слишком расплывчато. Лучше указать: потеря связи с наблюдающим, появление людей в огражденной зоне, отсутствие подтвержденного отключения, изменение погодных условий или сигнал газоанализатора. Право остановить работу должно быть понятно любому участнику без ожидания дополнительного согласования.</w:t>
      </w:r>
    </w:p>
    <w:p w:rsidR="00CE4FF1" w:rsidRP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Проверьте субподрядчиков и временные изменения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Заказчик нередко согласовывает основного исполнителя, но на площадку приходит другая бригада. В договоре и процедуре допуска закрепите обязанность заранее сообщать о субподрядчиках и применять к ним те же правила обмена сведениями. Основной подрядчик не должен заменять проверку фразой о полной ответственности за привлеченных лиц.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 xml:space="preserve">Временное изменение технологии также запускает повторную координацию. Замена подъемного механизма, перенос зоны складирования или продление работ на ночное время меняют исходные условия. Для этого предусмотрите простую </w:t>
      </w: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lastRenderedPageBreak/>
        <w:t>форму: описание изменения, новые риски, согласованные меры и подписи представителей сторон.</w:t>
      </w:r>
    </w:p>
    <w:p w:rsidR="00CE4FF1" w:rsidRPr="00CE4FF1" w:rsidRDefault="00CE4FF1" w:rsidP="00CE4FF1">
      <w:pPr>
        <w:shd w:val="clear" w:color="auto" w:fill="FFFFFF"/>
        <w:spacing w:after="0" w:line="300" w:lineRule="atLeast"/>
        <w:jc w:val="both"/>
        <w:outlineLvl w:val="1"/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b/>
          <w:bCs/>
          <w:caps/>
          <w:color w:val="333333"/>
          <w:sz w:val="24"/>
          <w:szCs w:val="24"/>
          <w:lang w:eastAsia="ru-RU"/>
        </w:rPr>
        <w:t>Завершите работу передачей безопасного состояния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Закрытие наряда или акта выполненных работ не всегда означает, что участок безопасен. После завершения проверьте снятие временных ограждений, восстановление защит, удаление материалов, состояние проходов и возврат отключенного оборудования в согласованный режим. При необходимости заказчик и подрядчик подписывают акт передачи участка.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Раз в месяц выберите один завершенный подряд и восстановите цепочку документов: сведения до допуска, разрешение, ежедневные координации, замечания и закрытие работ. Если в цепочке невозможно увидеть, кто принял ключевое решение, матрицу нужно уточнить. Цель аудита — не увеличить число подписей, а убрать зоны, в которых каждая сторона считала ответственным другого.</w:t>
      </w:r>
    </w:p>
    <w:p w:rsidR="00CE4FF1" w:rsidRPr="00CE4FF1" w:rsidRDefault="00CE4FF1" w:rsidP="00CE4FF1">
      <w:pPr>
        <w:shd w:val="clear" w:color="auto" w:fill="FFFFFF"/>
        <w:spacing w:after="240" w:line="315" w:lineRule="atLeast"/>
        <w:jc w:val="both"/>
        <w:rPr>
          <w:rFonts w:ascii="Arial" w:eastAsia="Times New Roman" w:hAnsi="Arial" w:cs="Arial"/>
          <w:color w:val="0B0B0B"/>
          <w:sz w:val="24"/>
          <w:szCs w:val="24"/>
          <w:lang w:eastAsia="ru-RU"/>
        </w:rPr>
      </w:pPr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Нормативная основа: </w:t>
      </w:r>
      <w:hyperlink r:id="rId5" w:history="1">
        <w:r w:rsidRPr="00CE4FF1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приказ Минтруда России от 22.09.2021 № 656н</w:t>
        </w:r>
      </w:hyperlink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 и его </w:t>
      </w:r>
      <w:hyperlink r:id="rId6" w:history="1">
        <w:r w:rsidRPr="00CE4FF1">
          <w:rPr>
            <w:rFonts w:ascii="Arial" w:eastAsia="Times New Roman" w:hAnsi="Arial" w:cs="Arial"/>
            <w:color w:val="B4012F"/>
            <w:sz w:val="24"/>
            <w:szCs w:val="24"/>
            <w:u w:val="single"/>
            <w:lang w:eastAsia="ru-RU"/>
          </w:rPr>
          <w:t>официальная публикация</w:t>
        </w:r>
      </w:hyperlink>
      <w:r w:rsidRPr="00CE4FF1">
        <w:rPr>
          <w:rFonts w:ascii="Arial" w:eastAsia="Times New Roman" w:hAnsi="Arial" w:cs="Arial"/>
          <w:color w:val="0B0B0B"/>
          <w:sz w:val="24"/>
          <w:szCs w:val="24"/>
          <w:lang w:eastAsia="ru-RU"/>
        </w:rPr>
        <w:t>. Перечень в приказе носит примерный характер и помогает построить совместные меры с учетом конкретной площадки.</w:t>
      </w:r>
    </w:p>
    <w:p w:rsidR="00112D8B" w:rsidRDefault="00112D8B"/>
    <w:sectPr w:rsidR="0011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FF1"/>
    <w:rsid w:val="00112D8B"/>
    <w:rsid w:val="00CE4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57EE87-C8E1-4980-BB02-F412BF44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96196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15" w:color="3D4B88"/>
            <w:bottom w:val="single" w:sz="12" w:space="20" w:color="3D4B88"/>
            <w:right w:val="single" w:sz="12" w:space="15" w:color="3D4B88"/>
          </w:divBdr>
          <w:divsChild>
            <w:div w:id="9245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75429">
                  <w:marLeft w:val="0"/>
                  <w:marRight w:val="45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84157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ublication.pravo.gov.ru/Document/View/0001202112030072?index=3&amp;rangeSize=1" TargetMode="External"/><Relationship Id="rId5" Type="http://schemas.openxmlformats.org/officeDocument/2006/relationships/hyperlink" Target="https://mintrud.gov.ru/docs/mintrud/orders/2186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2026-08-27T06:44:00Z</dcterms:created>
  <dcterms:modified xsi:type="dcterms:W3CDTF">2026-08-27T06:53:00Z</dcterms:modified>
</cp:coreProperties>
</file>