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pPr w:horzAnchor="page" w:tblpX="8686" w:tblpY="331" w:vertAnchor="page"/>
        <w:tblW w:type="auto" w:w="0"/>
        <w:tblLayout w:type="fixed"/>
        <w:tblCellMar>
          <w:left w:type="dxa" w:w="0"/>
          <w:right w:type="dxa" w:w="0"/>
        </w:tblCellMar>
      </w:tblPr>
      <w:tblGrid>
        <w:gridCol w:w="1581"/>
      </w:tblGrid>
      <w:tr>
        <w:trPr>
          <w:trHeight w:hRule="atLeast" w:val="454"/>
        </w:trPr>
        <w:tc>
          <w:tcPr>
            <w:tcW w:type="dxa" w:w="1581"/>
            <w:tcMar>
              <w:left w:type="dxa" w:w="0"/>
              <w:right w:type="dxa" w:w="0"/>
            </w:tcMar>
          </w:tcPr>
          <w:p w14:paraId="06000000">
            <w:pPr>
              <w:widowControl w:val="1"/>
              <w:spacing w:after="0" w:line="240" w:lineRule="auto"/>
              <w:ind/>
              <w:rPr>
                <w:sz w:val="64"/>
              </w:rPr>
            </w:pPr>
          </w:p>
        </w:tc>
      </w:tr>
    </w:tbl>
    <w:p w14:paraId="07000000">
      <w:pPr>
        <w:widowControl w:val="1"/>
        <w:spacing w:after="0"/>
        <w:ind/>
        <w:jc w:val="right"/>
        <w:rPr>
          <w:rFonts w:ascii="Times New Roman" w:hAnsi="Times New Roman"/>
          <w:b w:val="1"/>
          <w:sz w:val="28"/>
        </w:rPr>
      </w:pPr>
    </w:p>
    <w:p w14:paraId="08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6"/>
        </w:rPr>
      </w:pPr>
      <w:r>
        <w:rPr>
          <w:rStyle w:val="Style_4_ch"/>
          <w:rFonts w:ascii="Times New Roman" w:hAnsi="Times New Roman"/>
          <w:sz w:val="26"/>
        </w:rPr>
        <w:t>Прокурор разъяс</w:t>
      </w:r>
      <w:r>
        <w:rPr>
          <w:rStyle w:val="Style_4_ch"/>
          <w:rFonts w:ascii="Times New Roman" w:hAnsi="Times New Roman"/>
          <w:sz w:val="26"/>
        </w:rPr>
        <w:t>н</w:t>
      </w:r>
      <w:r>
        <w:rPr>
          <w:rStyle w:val="Style_4_ch"/>
          <w:rFonts w:ascii="Times New Roman" w:hAnsi="Times New Roman"/>
          <w:sz w:val="26"/>
        </w:rPr>
        <w:t xml:space="preserve">яет: </w:t>
      </w:r>
      <w:r>
        <w:rPr>
          <w:rStyle w:val="Style_4_ch"/>
          <w:rFonts w:ascii="Times New Roman" w:hAnsi="Times New Roman"/>
          <w:sz w:val="26"/>
        </w:rPr>
        <w:t>Установлены особенности регулирования труда работников, проходящих стажировку</w:t>
      </w:r>
    </w:p>
    <w:p w14:paraId="09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26"/>
        </w:rPr>
      </w:pPr>
    </w:p>
    <w:p w14:paraId="0A000000">
      <w:pPr>
        <w:pStyle w:val="Style_4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6"/>
        </w:rPr>
      </w:pPr>
      <w:bookmarkStart w:id="3" w:name="sub_5003"/>
      <w:r>
        <w:rPr>
          <w:rFonts w:ascii="Times New Roman" w:hAnsi="Times New Roman"/>
          <w:b w:val="0"/>
          <w:sz w:val="26"/>
        </w:rPr>
        <w:t>В Трудовой кодекс Российской Федерации внесены изменения, касающиеся правового регулирования прохождения работниками стажировки.</w:t>
      </w:r>
    </w:p>
    <w:p w14:paraId="0B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В частности,</w:t>
      </w:r>
      <w:r>
        <w:rPr>
          <w:rFonts w:ascii="Times New Roman" w:hAnsi="Times New Roman"/>
          <w:b w:val="0"/>
          <w:sz w:val="26"/>
        </w:rPr>
        <w:t xml:space="preserve"> вводятся определения понятий «стажер» и «стажировка в сфере труда», </w:t>
      </w:r>
      <w:r>
        <w:rPr>
          <w:rFonts w:ascii="Times New Roman" w:hAnsi="Times New Roman"/>
          <w:b w:val="0"/>
          <w:sz w:val="26"/>
        </w:rPr>
        <w:t>определяется период, в течение которого может быть заключен срочный трудовой договор о стажировке в сфере труда (не позднее одного года после получения профессионального образования соответствующего уровня или прохождения профессионального обучения).</w:t>
      </w:r>
    </w:p>
    <w:p w14:paraId="0C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Кроме того, устанавливается предельный срок, на который может быть заключен трудовой договор о стажировке в сфере труда (шесть месяцев), </w:t>
      </w:r>
      <w:r>
        <w:rPr>
          <w:rFonts w:ascii="Times New Roman" w:hAnsi="Times New Roman"/>
          <w:b w:val="0"/>
          <w:sz w:val="26"/>
        </w:rPr>
        <w:t>определяются случаи, когда течение срока трудового договора о стажировке в сфере труда приостанавливается (на период призыва стажера на военную службу, в том числе по мобилизации, заключения контракта о прохождении военной службы, временной нетрудоспособности, отпуска по беременности и родам, отпуска по уходу за ребенком или ухода за больным членом семьи и др.).</w:t>
      </w:r>
    </w:p>
    <w:p w14:paraId="0D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 xml:space="preserve">Также </w:t>
      </w:r>
      <w:r>
        <w:rPr>
          <w:rFonts w:ascii="Times New Roman" w:hAnsi="Times New Roman"/>
          <w:b w:val="0"/>
          <w:sz w:val="26"/>
        </w:rPr>
        <w:t xml:space="preserve">предусматривается запрет на установление испытательного срока работнику по окончании стажировки и в случае заключения трудового договора на неопределенный срок с тем же работодателем, с которым был заключен срочный трудовой договор о ее прохождении. </w:t>
      </w:r>
    </w:p>
    <w:p w14:paraId="0E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У</w:t>
      </w:r>
      <w:r>
        <w:rPr>
          <w:rFonts w:ascii="Times New Roman" w:hAnsi="Times New Roman"/>
          <w:b w:val="0"/>
          <w:sz w:val="26"/>
        </w:rPr>
        <w:t>становлено, что на период прохождения стажировки работодатель организует для стажера наставничество в целях оказания помощи в овладении навыками работы на производстве или рабочем месте по осваиваемым профессии, специальности или направлению подготовки либо получаемой новой квалификации.</w:t>
      </w:r>
    </w:p>
    <w:p w14:paraId="0F000000">
      <w:pPr>
        <w:widowControl w:val="1"/>
        <w:spacing w:after="0" w:before="0"/>
        <w:ind w:firstLine="709" w:left="0" w:right="0"/>
        <w:jc w:val="both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0"/>
          <w:sz w:val="26"/>
        </w:rPr>
        <w:t>Особенности регулирования труда работников, проходящих стажировку в сфере труда, не распространяются на государственных служащих и муниципальных служащих.</w:t>
      </w:r>
    </w:p>
    <w:p w14:paraId="10000000">
      <w:pPr>
        <w:pStyle w:val="Style_4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 w:val="0"/>
          <w:sz w:val="26"/>
        </w:rPr>
        <w:t>Настоящий Федеральный закон вступает в силу с 01.03.2027.</w:t>
      </w:r>
    </w:p>
    <w:p w14:paraId="11000000">
      <w:pPr>
        <w:widowControl w:val="1"/>
        <w:spacing w:after="0" w:line="240" w:lineRule="auto"/>
        <w:ind w:firstLine="708" w:right="-1"/>
        <w:jc w:val="both"/>
        <w:rPr>
          <w:rFonts w:ascii="Times New Roman" w:hAnsi="Times New Roman"/>
          <w:sz w:val="26"/>
        </w:rPr>
      </w:pPr>
      <w:bookmarkEnd w:id="3"/>
    </w:p>
    <w:p w14:paraId="12000000">
      <w:pPr>
        <w:widowControl w:val="1"/>
        <w:ind/>
        <w:jc w:val="both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(Информацию предоставил</w:t>
      </w:r>
      <w:r>
        <w:rPr>
          <w:rFonts w:ascii="Times New Roman" w:hAnsi="Times New Roman"/>
          <w:b w:val="1"/>
          <w:sz w:val="26"/>
        </w:rPr>
        <w:t xml:space="preserve"> </w:t>
      </w:r>
      <w:r>
        <w:rPr>
          <w:rFonts w:ascii="Times New Roman" w:hAnsi="Times New Roman"/>
          <w:b w:val="1"/>
          <w:sz w:val="26"/>
        </w:rPr>
        <w:t>помощник прокурора района</w:t>
      </w:r>
      <w:r>
        <w:rPr>
          <w:rFonts w:ascii="Times New Roman" w:hAnsi="Times New Roman"/>
          <w:b w:val="1"/>
          <w:sz w:val="26"/>
        </w:rPr>
        <w:t xml:space="preserve"> Константин</w:t>
      </w:r>
      <w:r>
        <w:rPr>
          <w:rFonts w:ascii="Times New Roman" w:hAnsi="Times New Roman"/>
          <w:b w:val="1"/>
          <w:sz w:val="26"/>
        </w:rPr>
        <w:t xml:space="preserve"> Елгин</w:t>
      </w:r>
      <w:r>
        <w:rPr>
          <w:rFonts w:ascii="Times New Roman" w:hAnsi="Times New Roman"/>
          <w:b w:val="1"/>
          <w:sz w:val="26"/>
        </w:rPr>
        <w:t>)</w:t>
      </w:r>
    </w:p>
    <w:p w14:paraId="1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6"/>
        </w:rPr>
      </w:pPr>
    </w:p>
    <w:p w14:paraId="14000000">
      <w:pPr>
        <w:widowControl w:val="1"/>
        <w:spacing w:after="0" w:line="240" w:lineRule="auto"/>
        <w:ind/>
        <w:jc w:val="both"/>
        <w:rPr>
          <w:rFonts w:ascii="Times New Roman" w:hAnsi="Times New Roman"/>
          <w:caps w:val="1"/>
          <w:sz w:val="26"/>
        </w:rPr>
      </w:pPr>
      <w:r>
        <w:rPr>
          <w:rFonts w:ascii="Times New Roman" w:hAnsi="Times New Roman"/>
          <w:caps w:val="1"/>
          <w:sz w:val="26"/>
        </w:rPr>
        <w:t>Согласовано</w:t>
      </w:r>
    </w:p>
    <w:p w14:paraId="1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tbl>
      <w:tblPr>
        <w:tblStyle w:val="Style_5"/>
        <w:tblpPr w:bottomFromText="0" w:horzAnchor="text" w:leftFromText="181" w:rightFromText="181" w:tblpXSpec="left" w:tblpY="1" w:topFromText="0" w:vertAnchor="text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434"/>
        <w:gridCol w:w="1286"/>
        <w:gridCol w:w="4061"/>
      </w:tblGrid>
      <w:tr>
        <w:trPr>
          <w:trHeight w:hRule="atLeast" w:val="200"/>
        </w:trPr>
        <w:tc>
          <w:tcPr>
            <w:tcW w:type="dxa" w:w="443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6000000">
            <w:pPr>
              <w:widowControl w:val="1"/>
              <w:spacing w:line="240" w:lineRule="exact"/>
              <w:ind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Прокурор района </w:t>
            </w:r>
          </w:p>
        </w:tc>
        <w:tc>
          <w:tcPr>
            <w:tcW w:type="dxa" w:w="128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7000000">
            <w:pPr>
              <w:widowControl w:val="1"/>
              <w:spacing w:line="240" w:lineRule="exact"/>
              <w:ind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406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8000000">
            <w:pPr>
              <w:widowControl w:val="1"/>
              <w:spacing w:line="240" w:lineRule="exact"/>
              <w:ind w:right="-74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                                  В.П. Дукарт</w:t>
            </w:r>
          </w:p>
        </w:tc>
      </w:tr>
    </w:tbl>
    <w:p w14:paraId="19000000">
      <w:pPr>
        <w:widowControl w:val="1"/>
        <w:spacing w:after="0" w:line="240" w:lineRule="auto"/>
        <w:ind/>
        <w:rPr>
          <w:rFonts w:ascii="Times New Roman" w:hAnsi="Times New Roman"/>
          <w:sz w:val="26"/>
        </w:rPr>
      </w:pPr>
    </w:p>
    <w:p w14:paraId="1A000000">
      <w:pPr>
        <w:widowControl w:val="1"/>
        <w:tabs>
          <w:tab w:leader="none" w:pos="1985" w:val="left"/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color w:themeColor="background1" w:themeShade="D9" w:val="D9D9D9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bookmarkStart w:id="4" w:name="SIGNERSTAMP1"/>
      <w:r>
        <w:rPr>
          <w:rFonts w:ascii="Times New Roman" w:hAnsi="Times New Roman"/>
          <w:color w:themeColor="background1" w:themeShade="D9" w:val="D9D9D9"/>
          <w:sz w:val="24"/>
        </w:rPr>
        <w:t>эл. Подписи</w:t>
      </w:r>
      <w:bookmarkEnd w:id="4"/>
      <w:r>
        <w:rPr>
          <w:rFonts w:ascii="Times New Roman" w:hAnsi="Times New Roman"/>
          <w:color w:themeColor="background1" w:themeShade="D9" w:val="D9D9D9"/>
          <w:sz w:val="24"/>
        </w:rPr>
        <w:t xml:space="preserve"> </w:t>
      </w:r>
      <w:r>
        <w:rPr>
          <w:rFonts w:ascii="Times New Roman" w:hAnsi="Times New Roman"/>
          <w:color w:themeColor="background1" w:themeShade="D9" w:val="D9D9D9"/>
          <w:sz w:val="24"/>
        </w:rPr>
        <w:t>штамп</w:t>
      </w:r>
    </w:p>
    <w:p w14:paraId="1B000000">
      <w:pPr>
        <w:rPr>
          <w:rFonts w:ascii="Times New Roman" w:hAnsi="Times New Roman"/>
          <w:sz w:val="28"/>
        </w:rPr>
      </w:pPr>
      <w:bookmarkStart w:id="5" w:name="_GoBack"/>
      <w:bookmarkEnd w:id="5"/>
    </w:p>
    <w:p w14:paraId="1C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05.10.2026</w:t>
      </w:r>
    </w:p>
    <w:sectPr>
      <w:headerReference r:id="rId1" w:type="default"/>
      <w:footerReference r:id="rId2" w:type="first"/>
      <w:pgSz w:h="16838" w:orient="portrait" w:w="11906"/>
      <w:pgMar w:bottom="1134" w:footer="709" w:gutter="0" w:header="709" w:left="1701" w:right="566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pPr w:horzAnchor="margin" w:tblpXSpec="right" w:tblpYSpec="outside" w:vertAnchor="page"/>
      <w:tblW w:type="auto" w:w="0"/>
      <w:tblBorders>
        <w:top w:color="000000" w:sz="12" w:val="single"/>
        <w:left w:color="000000" w:sz="12" w:val="single"/>
        <w:bottom w:color="000000" w:sz="12" w:val="single"/>
        <w:right w:color="000000" w:sz="12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2962"/>
    </w:tblGrid>
    <w:tr>
      <w:trPr>
        <w:trHeight w:hRule="atLeast" w:val="57"/>
      </w:trPr>
      <w:tc>
        <w:tcPr>
          <w:tcW w:type="dxa" w:w="2962"/>
          <w:tcBorders>
            <w:top w:color="000000" w:sz="12" w:val="single"/>
            <w:left w:color="000000" w:sz="12" w:val="single"/>
            <w:bottom w:color="000000" w:sz="12" w:val="single"/>
            <w:right w:color="000000" w:sz="12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bookmarkEnd w:id="1"/>
        </w:p>
        <w:p w14:paraId="04000000">
          <w:pPr>
            <w:widowControl w:val="1"/>
            <w:tabs>
              <w:tab w:leader="none" w:pos="413" w:val="left"/>
            </w:tabs>
            <w:spacing w:after="60" w:line="240" w:lineRule="auto"/>
            <w:ind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 </w:t>
          </w: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bookmarkEnd w:id="2"/>
        </w:p>
      </w:tc>
    </w:tr>
  </w:tbl>
  <w:p w14:paraId="05000000">
    <w:pPr>
      <w:pStyle w:val="Style_3"/>
      <w:widowControl w:val="1"/>
      <w:spacing w:after="60"/>
      <w:ind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7" w:type="paragraph">
    <w:name w:val="toc 2"/>
    <w:next w:val="Style_6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6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4" w:type="paragraph">
    <w:name w:val="Normal (Web)"/>
    <w:basedOn w:val="Style_6"/>
    <w:link w:val="Style_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_ch" w:type="character">
    <w:name w:val="Normal (Web)"/>
    <w:basedOn w:val="Style_6_ch"/>
    <w:link w:val="Style_4"/>
    <w:rPr>
      <w:rFonts w:ascii="Times New Roman" w:hAnsi="Times New Roman"/>
      <w:sz w:val="24"/>
    </w:rPr>
  </w:style>
  <w:style w:styleId="Style_13" w:type="paragraph">
    <w:name w:val="toc 3"/>
    <w:next w:val="Style_6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Balloon Text"/>
    <w:basedOn w:val="Style_6"/>
    <w:link w:val="Style_14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4_ch" w:type="character">
    <w:name w:val="Balloon Text"/>
    <w:basedOn w:val="Style_6_ch"/>
    <w:link w:val="Style_14"/>
    <w:rPr>
      <w:rFonts w:ascii="Segoe UI" w:hAnsi="Segoe UI"/>
      <w:sz w:val="18"/>
    </w:rPr>
  </w:style>
  <w:style w:styleId="Style_15" w:type="paragraph">
    <w:name w:val="heading 5"/>
    <w:next w:val="Style_6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6"/>
    <w:link w:val="Style_16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6_ch"/>
    <w:link w:val="Style_1"/>
  </w:style>
  <w:style w:styleId="Style_17" w:type="paragraph">
    <w:name w:val="Основной текст1"/>
    <w:basedOn w:val="Style_6"/>
    <w:link w:val="Style_17_ch"/>
    <w:pPr>
      <w:widowControl w:val="1"/>
      <w:spacing w:after="0" w:line="322" w:lineRule="exact"/>
      <w:ind/>
      <w:jc w:val="both"/>
    </w:pPr>
    <w:rPr>
      <w:rFonts w:ascii="Times New Roman" w:hAnsi="Times New Roman"/>
      <w:sz w:val="27"/>
    </w:rPr>
  </w:style>
  <w:style w:styleId="Style_17_ch" w:type="character">
    <w:name w:val="Основной текст1"/>
    <w:basedOn w:val="Style_6_ch"/>
    <w:link w:val="Style_17"/>
    <w:rPr>
      <w:rFonts w:ascii="Times New Roman" w:hAnsi="Times New Roman"/>
      <w:sz w:val="27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6"/>
    <w:link w:val="Style_20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6"/>
    <w:link w:val="Style_2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3" w:type="paragraph">
    <w:name w:val="footer"/>
    <w:basedOn w:val="Style_6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6_ch"/>
    <w:link w:val="Style_3"/>
  </w:style>
  <w:style w:styleId="Style_23" w:type="paragraph">
    <w:name w:val="Основной текст + 13 pt"/>
    <w:basedOn w:val="Style_17"/>
    <w:link w:val="Style_23_ch"/>
    <w:rPr>
      <w:rFonts w:ascii="Times New Roman" w:hAnsi="Times New Roman"/>
      <w:b w:val="0"/>
      <w:i w:val="0"/>
      <w:smallCaps w:val="0"/>
      <w:strike w:val="0"/>
      <w:spacing w:val="0"/>
      <w:sz w:val="26"/>
      <w:highlight w:val="white"/>
    </w:rPr>
  </w:style>
  <w:style w:styleId="Style_23_ch" w:type="character">
    <w:name w:val="Основной текст + 13 pt"/>
    <w:basedOn w:val="Style_17_ch"/>
    <w:link w:val="Style_23"/>
    <w:rPr>
      <w:rFonts w:ascii="Times New Roman" w:hAnsi="Times New Roman"/>
      <w:b w:val="0"/>
      <w:i w:val="0"/>
      <w:smallCaps w:val="0"/>
      <w:strike w:val="0"/>
      <w:spacing w:val="0"/>
      <w:sz w:val="26"/>
      <w:highlight w:val="white"/>
    </w:rPr>
  </w:style>
  <w:style w:styleId="Style_24" w:type="paragraph">
    <w:name w:val="toc 8"/>
    <w:next w:val="Style_6"/>
    <w:link w:val="Style_2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toc 5"/>
    <w:next w:val="Style_6"/>
    <w:link w:val="Style_2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List Paragraph"/>
    <w:basedOn w:val="Style_6"/>
    <w:link w:val="Style_27_ch"/>
    <w:pPr>
      <w:widowControl w:val="1"/>
      <w:ind w:left="720"/>
      <w:contextualSpacing w:val="1"/>
    </w:pPr>
  </w:style>
  <w:style w:styleId="Style_27_ch" w:type="character">
    <w:name w:val="List Paragraph"/>
    <w:basedOn w:val="Style_6_ch"/>
    <w:link w:val="Style_27"/>
  </w:style>
  <w:style w:styleId="Style_28" w:type="paragraph">
    <w:name w:val="Subtitle"/>
    <w:next w:val="Style_6"/>
    <w:link w:val="Style_2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6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6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6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5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2023-03-22T01:52:00Z</dcterms:created>
  <dcterms:modified xsi:type="dcterms:W3CDTF">2026-10-03T09:14:20Z</dcterms:modified>
</cp:coreProperties>
</file>